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4" w:rsidRDefault="004071D1" w:rsidP="004071D1">
      <w:pPr>
        <w:jc w:val="center"/>
        <w:rPr>
          <w:rFonts w:ascii="Times New Roman" w:hAnsi="Times New Roman" w:cs="Times New Roman"/>
          <w:b/>
          <w:sz w:val="28"/>
        </w:rPr>
      </w:pPr>
      <w:r w:rsidRPr="004071D1">
        <w:rPr>
          <w:rFonts w:ascii="Times New Roman" w:hAnsi="Times New Roman" w:cs="Times New Roman"/>
          <w:b/>
          <w:sz w:val="28"/>
        </w:rPr>
        <w:t>Оптимальная численность государственных служащих</w:t>
      </w:r>
      <w:r w:rsidR="007A0194">
        <w:rPr>
          <w:rFonts w:ascii="Times New Roman" w:hAnsi="Times New Roman" w:cs="Times New Roman"/>
          <w:b/>
          <w:sz w:val="28"/>
        </w:rPr>
        <w:t xml:space="preserve"> в России</w:t>
      </w:r>
    </w:p>
    <w:p w:rsidR="004071D1" w:rsidRDefault="00900922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научной литературе и аналитической публицистике стало общепринято ежегодно оценивать и сравнивать страны по количеству чиновников, приходящихся на 10 тыс. населения</w:t>
      </w:r>
      <w:r w:rsidR="0035460E" w:rsidRPr="0035460E">
        <w:rPr>
          <w:rFonts w:ascii="Times New Roman" w:hAnsi="Times New Roman" w:cs="Times New Roman"/>
          <w:sz w:val="28"/>
        </w:rPr>
        <w:t xml:space="preserve"> (</w:t>
      </w:r>
      <w:r w:rsidR="0035460E">
        <w:rPr>
          <w:rFonts w:ascii="Times New Roman" w:hAnsi="Times New Roman" w:cs="Times New Roman"/>
          <w:sz w:val="28"/>
        </w:rPr>
        <w:t>или иное значение</w:t>
      </w:r>
      <w:r w:rsidR="0035460E" w:rsidRPr="0035460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35460E">
        <w:rPr>
          <w:rFonts w:ascii="Times New Roman" w:hAnsi="Times New Roman" w:cs="Times New Roman"/>
          <w:sz w:val="28"/>
        </w:rPr>
        <w:t xml:space="preserve"> Предполагается, что чем меньше этот показатель, тем эффективнее государственно</w:t>
      </w:r>
      <w:r w:rsidR="00B77CC3">
        <w:rPr>
          <w:rFonts w:ascii="Times New Roman" w:hAnsi="Times New Roman" w:cs="Times New Roman"/>
          <w:sz w:val="28"/>
        </w:rPr>
        <w:t>е</w:t>
      </w:r>
      <w:r w:rsidR="0035460E">
        <w:rPr>
          <w:rFonts w:ascii="Times New Roman" w:hAnsi="Times New Roman" w:cs="Times New Roman"/>
          <w:sz w:val="28"/>
        </w:rPr>
        <w:t xml:space="preserve"> управление. Однако д</w:t>
      </w:r>
      <w:r>
        <w:rPr>
          <w:rFonts w:ascii="Times New Roman" w:hAnsi="Times New Roman" w:cs="Times New Roman"/>
          <w:sz w:val="28"/>
        </w:rPr>
        <w:t>анный подход представляется</w:t>
      </w:r>
      <w:r w:rsidRPr="003C61FF">
        <w:rPr>
          <w:rFonts w:ascii="Times New Roman" w:hAnsi="Times New Roman" w:cs="Times New Roman"/>
          <w:sz w:val="28"/>
        </w:rPr>
        <w:t xml:space="preserve"> </w:t>
      </w:r>
      <w:r w:rsidR="003C61FF" w:rsidRPr="003C61FF">
        <w:rPr>
          <w:rFonts w:ascii="Times New Roman" w:hAnsi="Times New Roman" w:cs="Times New Roman"/>
          <w:sz w:val="28"/>
        </w:rPr>
        <w:t>не вполне</w:t>
      </w:r>
      <w:r w:rsidRPr="003C61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корректным по отношению к нашей стране</w:t>
      </w:r>
      <w:r w:rsidR="00B77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предлагается его адаптировать под российские реалии. </w:t>
      </w:r>
    </w:p>
    <w:p w:rsidR="00900922" w:rsidRDefault="00A4680E" w:rsidP="00627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понимании большинства российского населения </w:t>
      </w:r>
      <w:r w:rsidR="007C3C7D">
        <w:rPr>
          <w:rFonts w:ascii="Times New Roman" w:hAnsi="Times New Roman" w:cs="Times New Roman"/>
          <w:sz w:val="28"/>
        </w:rPr>
        <w:t>аппарат государственного управления — это</w:t>
      </w:r>
      <w:r>
        <w:rPr>
          <w:rFonts w:ascii="Times New Roman" w:hAnsi="Times New Roman" w:cs="Times New Roman"/>
          <w:sz w:val="28"/>
        </w:rPr>
        <w:t xml:space="preserve"> совокупность чиновников, которые получают несоизмеримо большие зарплаты за счёт средств государственного бюджета. Следовательно, чем меньше аппарат управления, тем больше средств останется в государственном бюджете на финансировани</w:t>
      </w:r>
      <w:r w:rsidR="00B77CC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социально значимых программ. Логика достаточно простая, но весьма распространённая, поскольку имеет под собой определённое обоснование: среднемесячная заработная плата граждан России, занятых в государственном секторе в 2015 году составила </w:t>
      </w:r>
      <w:r w:rsidRPr="00A4680E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 xml:space="preserve"> </w:t>
      </w:r>
      <w:r w:rsidRPr="00A4680E">
        <w:rPr>
          <w:rFonts w:ascii="Times New Roman" w:hAnsi="Times New Roman" w:cs="Times New Roman"/>
          <w:sz w:val="28"/>
        </w:rPr>
        <w:t>916</w:t>
      </w:r>
      <w:r>
        <w:rPr>
          <w:rFonts w:ascii="Times New Roman" w:hAnsi="Times New Roman" w:cs="Times New Roman"/>
          <w:sz w:val="28"/>
        </w:rPr>
        <w:t xml:space="preserve"> рублей, тогда как среднее значение по всем отраслям деятельности составило </w:t>
      </w:r>
      <w:r w:rsidRPr="00A4680E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 xml:space="preserve"> </w:t>
      </w:r>
      <w:r w:rsidRPr="00A4680E">
        <w:rPr>
          <w:rFonts w:ascii="Times New Roman" w:hAnsi="Times New Roman" w:cs="Times New Roman"/>
          <w:sz w:val="28"/>
        </w:rPr>
        <w:t>029</w:t>
      </w:r>
      <w:r>
        <w:rPr>
          <w:rFonts w:ascii="Times New Roman" w:hAnsi="Times New Roman" w:cs="Times New Roman"/>
          <w:sz w:val="28"/>
        </w:rPr>
        <w:t xml:space="preserve"> рублей в месяц</w:t>
      </w:r>
      <w:r w:rsidR="00D1571A">
        <w:rPr>
          <w:rFonts w:ascii="Times New Roman" w:hAnsi="Times New Roman" w:cs="Times New Roman"/>
          <w:sz w:val="28"/>
        </w:rPr>
        <w:t xml:space="preserve"> [1]</w:t>
      </w:r>
      <w:r>
        <w:rPr>
          <w:rFonts w:ascii="Times New Roman" w:hAnsi="Times New Roman" w:cs="Times New Roman"/>
          <w:sz w:val="28"/>
        </w:rPr>
        <w:t>.</w:t>
      </w:r>
      <w:r w:rsidR="00C80022">
        <w:rPr>
          <w:rFonts w:ascii="Times New Roman" w:hAnsi="Times New Roman" w:cs="Times New Roman"/>
          <w:sz w:val="28"/>
        </w:rPr>
        <w:t xml:space="preserve"> При этом СМИ справедливо указывают на то, что средняя заработная плата федеральных чиновников в 2016 преодолела отметку в 115 тысяч рублей в месяц [2].</w:t>
      </w:r>
    </w:p>
    <w:p w:rsidR="00AD5639" w:rsidRDefault="00ED1B05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Такая разница не может не обращать на себя внимание граждан. Однако необходимо проанализировать и сравнить этот показатель </w:t>
      </w:r>
      <w:r w:rsidR="00EF2ED0">
        <w:rPr>
          <w:rFonts w:ascii="Times New Roman" w:hAnsi="Times New Roman" w:cs="Times New Roman"/>
          <w:sz w:val="28"/>
          <w:lang w:val="en-US"/>
        </w:rPr>
        <w:t>c</w:t>
      </w:r>
      <w:r w:rsidR="00EF2ED0" w:rsidRPr="00EF2ED0">
        <w:rPr>
          <w:rFonts w:ascii="Times New Roman" w:hAnsi="Times New Roman" w:cs="Times New Roman"/>
          <w:sz w:val="28"/>
        </w:rPr>
        <w:t xml:space="preserve"> </w:t>
      </w:r>
      <w:r w:rsidR="00EF2ED0">
        <w:rPr>
          <w:rFonts w:ascii="Times New Roman" w:hAnsi="Times New Roman" w:cs="Times New Roman"/>
          <w:sz w:val="28"/>
        </w:rPr>
        <w:t xml:space="preserve">аналогичным в других развитых </w:t>
      </w:r>
      <w:r w:rsidR="00627179">
        <w:rPr>
          <w:rFonts w:ascii="Times New Roman" w:hAnsi="Times New Roman" w:cs="Times New Roman"/>
          <w:sz w:val="28"/>
        </w:rPr>
        <w:t>государствах</w:t>
      </w:r>
      <w:r w:rsidR="00EF2ED0">
        <w:rPr>
          <w:rFonts w:ascii="Times New Roman" w:hAnsi="Times New Roman" w:cs="Times New Roman"/>
          <w:sz w:val="28"/>
        </w:rPr>
        <w:t xml:space="preserve">. Поскольку существует различная трактовка понятия «госслужащий» в разных странах, а также курс доллара постоянно изменяется, то автору придётся пойти на некоторые условности в представленном исследовании. </w:t>
      </w:r>
      <w:r w:rsidR="00AD5639">
        <w:rPr>
          <w:rFonts w:ascii="Times New Roman" w:hAnsi="Times New Roman" w:cs="Times New Roman"/>
          <w:sz w:val="28"/>
        </w:rPr>
        <w:t>Под определением «чиновник», равно как и «государственный служащий» буд</w:t>
      </w:r>
      <w:r w:rsidR="00B77CC3">
        <w:rPr>
          <w:rFonts w:ascii="Times New Roman" w:hAnsi="Times New Roman" w:cs="Times New Roman"/>
          <w:sz w:val="28"/>
        </w:rPr>
        <w:t>у</w:t>
      </w:r>
      <w:r w:rsidR="00AD5639">
        <w:rPr>
          <w:rFonts w:ascii="Times New Roman" w:hAnsi="Times New Roman" w:cs="Times New Roman"/>
          <w:sz w:val="28"/>
        </w:rPr>
        <w:t>т пониматься в случае конкретной страны немного разн</w:t>
      </w:r>
      <w:r w:rsidR="00627179">
        <w:rPr>
          <w:rFonts w:ascii="Times New Roman" w:hAnsi="Times New Roman" w:cs="Times New Roman"/>
          <w:sz w:val="28"/>
        </w:rPr>
        <w:t xml:space="preserve">ые группы населения, попадающие </w:t>
      </w:r>
      <w:r w:rsidR="00B77CC3">
        <w:rPr>
          <w:rFonts w:ascii="Times New Roman" w:hAnsi="Times New Roman" w:cs="Times New Roman"/>
          <w:sz w:val="28"/>
        </w:rPr>
        <w:t>в</w:t>
      </w:r>
      <w:r w:rsidR="00627179">
        <w:rPr>
          <w:rFonts w:ascii="Times New Roman" w:hAnsi="Times New Roman" w:cs="Times New Roman"/>
          <w:sz w:val="28"/>
        </w:rPr>
        <w:t xml:space="preserve"> эту категорию.</w:t>
      </w:r>
      <w:r w:rsidR="00AD5639">
        <w:rPr>
          <w:rFonts w:ascii="Times New Roman" w:hAnsi="Times New Roman" w:cs="Times New Roman"/>
          <w:sz w:val="28"/>
        </w:rPr>
        <w:t xml:space="preserve"> В основном будет использоваться статистика граждан, занятых в государственном секторе экономики. </w:t>
      </w:r>
    </w:p>
    <w:p w:rsidR="00D1571A" w:rsidRDefault="00D22DA3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графике </w:t>
      </w:r>
      <w:r w:rsidR="00137FA3">
        <w:rPr>
          <w:rFonts w:ascii="Times New Roman" w:hAnsi="Times New Roman" w:cs="Times New Roman"/>
          <w:sz w:val="28"/>
        </w:rPr>
        <w:t xml:space="preserve">ниже представлены данные за 2015 год </w:t>
      </w:r>
      <w:r w:rsidR="00137FA3" w:rsidRPr="00137FA3">
        <w:rPr>
          <w:rFonts w:ascii="Times New Roman" w:hAnsi="Times New Roman" w:cs="Times New Roman"/>
          <w:sz w:val="28"/>
        </w:rPr>
        <w:t>ОЭСР (Организация экономического сотрудничества и развития)</w:t>
      </w:r>
      <w:r w:rsidR="00137FA3">
        <w:rPr>
          <w:rFonts w:ascii="Times New Roman" w:hAnsi="Times New Roman" w:cs="Times New Roman"/>
          <w:sz w:val="28"/>
        </w:rPr>
        <w:t xml:space="preserve"> по зарплатам служащих центрального госаппарата</w:t>
      </w:r>
      <w:r w:rsidR="00355C62">
        <w:rPr>
          <w:rFonts w:ascii="Times New Roman" w:hAnsi="Times New Roman" w:cs="Times New Roman"/>
          <w:sz w:val="28"/>
        </w:rPr>
        <w:t xml:space="preserve"> </w:t>
      </w:r>
      <w:r w:rsidR="00355C62" w:rsidRPr="00CF6913">
        <w:rPr>
          <w:rFonts w:ascii="Times New Roman" w:hAnsi="Times New Roman" w:cs="Times New Roman"/>
          <w:sz w:val="28"/>
        </w:rPr>
        <w:t>[3]</w:t>
      </w:r>
      <w:r w:rsidR="00137FA3">
        <w:rPr>
          <w:rFonts w:ascii="Times New Roman" w:hAnsi="Times New Roman" w:cs="Times New Roman"/>
          <w:sz w:val="28"/>
        </w:rPr>
        <w:t xml:space="preserve">, разделённые на 12 месяцев и переведённые в рубли по курсу на 1 января 2015 года. </w:t>
      </w:r>
      <w:r w:rsidR="00627179">
        <w:rPr>
          <w:rFonts w:ascii="Times New Roman" w:hAnsi="Times New Roman" w:cs="Times New Roman"/>
          <w:sz w:val="28"/>
        </w:rPr>
        <w:t>Зарплата российских чиновников по данным Росстата [2].</w:t>
      </w:r>
    </w:p>
    <w:p w:rsidR="00137FA3" w:rsidRDefault="00137FA3" w:rsidP="00A4680E">
      <w:pPr>
        <w:jc w:val="both"/>
        <w:rPr>
          <w:rFonts w:ascii="Times New Roman" w:hAnsi="Times New Roman" w:cs="Times New Roman"/>
          <w:sz w:val="28"/>
        </w:rPr>
      </w:pPr>
      <w:r w:rsidRPr="00CE29B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500631B" wp14:editId="1AE6D6BB">
            <wp:extent cx="6905625" cy="98488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378F" w:rsidRDefault="009D417D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Необходимо указать и на то обстоятельство, что курс доллара к рублю в 2015 году сильно изменялся, а также на то, что он в целом сильно вырос по сравнению с предыдущим годом. Тем не менее, из данных отчётливо видно, что наши госслужащие высшего звена получают весьма скромную зарплату по общеми</w:t>
      </w:r>
      <w:r w:rsidR="00B77CC3">
        <w:rPr>
          <w:rFonts w:ascii="Times New Roman" w:hAnsi="Times New Roman" w:cs="Times New Roman"/>
          <w:sz w:val="28"/>
        </w:rPr>
        <w:t>ровым масштабам. Разумеется,</w:t>
      </w:r>
      <w:r>
        <w:rPr>
          <w:rFonts w:ascii="Times New Roman" w:hAnsi="Times New Roman" w:cs="Times New Roman"/>
          <w:sz w:val="28"/>
        </w:rPr>
        <w:t xml:space="preserve"> эту цифру необходимо соотносить с общим уровнем жизни и средней зарплатой по стране. Однако, если же мы желаем видеть зарплаты в </w:t>
      </w:r>
      <w:r w:rsidR="00A57035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на уровне общемировых, то мы не можем делать исключения для государственных служащих, но и о кардинальном повышении этой цифры говорить преждевременно.</w:t>
      </w:r>
    </w:p>
    <w:p w:rsidR="009D417D" w:rsidRDefault="00092E4D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же </w:t>
      </w:r>
      <w:r w:rsidR="00A57035">
        <w:rPr>
          <w:rFonts w:ascii="Times New Roman" w:hAnsi="Times New Roman" w:cs="Times New Roman"/>
          <w:sz w:val="28"/>
        </w:rPr>
        <w:t>рассматривать общие затраты</w:t>
      </w:r>
      <w:r>
        <w:rPr>
          <w:rFonts w:ascii="Times New Roman" w:hAnsi="Times New Roman" w:cs="Times New Roman"/>
          <w:sz w:val="28"/>
        </w:rPr>
        <w:t xml:space="preserve">, которые несёт бюджет на содержание </w:t>
      </w:r>
      <w:r w:rsidR="001D0F27">
        <w:rPr>
          <w:rFonts w:ascii="Times New Roman" w:hAnsi="Times New Roman" w:cs="Times New Roman"/>
          <w:sz w:val="28"/>
        </w:rPr>
        <w:t>госслужащих</w:t>
      </w:r>
      <w:r>
        <w:rPr>
          <w:rFonts w:ascii="Times New Roman" w:hAnsi="Times New Roman" w:cs="Times New Roman"/>
          <w:sz w:val="28"/>
        </w:rPr>
        <w:t xml:space="preserve">, </w:t>
      </w:r>
      <w:r w:rsidR="00CF4F93">
        <w:rPr>
          <w:rFonts w:ascii="Times New Roman" w:hAnsi="Times New Roman" w:cs="Times New Roman"/>
          <w:sz w:val="28"/>
        </w:rPr>
        <w:t>то тут необходимо обратиться к общей ч</w:t>
      </w:r>
      <w:r w:rsidR="009C043B">
        <w:rPr>
          <w:rFonts w:ascii="Times New Roman" w:hAnsi="Times New Roman" w:cs="Times New Roman"/>
          <w:sz w:val="28"/>
        </w:rPr>
        <w:t xml:space="preserve">исленности чиновников в стране. </w:t>
      </w:r>
      <w:r w:rsidR="00665859">
        <w:rPr>
          <w:rFonts w:ascii="Times New Roman" w:hAnsi="Times New Roman" w:cs="Times New Roman"/>
          <w:sz w:val="28"/>
        </w:rPr>
        <w:t>Поскольку численность населения сильно отличается, то и сравнивать имеет смысл процентное соотношение занятых в государственном се</w:t>
      </w:r>
      <w:r w:rsidR="00A2181F">
        <w:rPr>
          <w:rFonts w:ascii="Times New Roman" w:hAnsi="Times New Roman" w:cs="Times New Roman"/>
          <w:sz w:val="28"/>
        </w:rPr>
        <w:t>кторе к общему число работающих в стране</w:t>
      </w:r>
      <w:r w:rsidR="00D22DA3">
        <w:rPr>
          <w:rFonts w:ascii="Times New Roman" w:hAnsi="Times New Roman" w:cs="Times New Roman"/>
          <w:sz w:val="28"/>
        </w:rPr>
        <w:t xml:space="preserve">. На графике </w:t>
      </w:r>
      <w:r w:rsidR="00665859">
        <w:rPr>
          <w:rFonts w:ascii="Times New Roman" w:hAnsi="Times New Roman" w:cs="Times New Roman"/>
          <w:sz w:val="28"/>
        </w:rPr>
        <w:t>ниже пр</w:t>
      </w:r>
      <w:r w:rsidR="00313102">
        <w:rPr>
          <w:rFonts w:ascii="Times New Roman" w:hAnsi="Times New Roman" w:cs="Times New Roman"/>
          <w:sz w:val="28"/>
        </w:rPr>
        <w:t>едставлены данные</w:t>
      </w:r>
      <w:r w:rsidR="00DE19DD">
        <w:rPr>
          <w:rFonts w:ascii="Times New Roman" w:hAnsi="Times New Roman" w:cs="Times New Roman"/>
          <w:sz w:val="28"/>
        </w:rPr>
        <w:t xml:space="preserve"> по странам мира</w:t>
      </w:r>
      <w:r w:rsidR="00313102">
        <w:rPr>
          <w:rFonts w:ascii="Times New Roman" w:hAnsi="Times New Roman" w:cs="Times New Roman"/>
          <w:sz w:val="28"/>
        </w:rPr>
        <w:t xml:space="preserve"> за 2015</w:t>
      </w:r>
      <w:r w:rsidR="00665859">
        <w:rPr>
          <w:rFonts w:ascii="Times New Roman" w:hAnsi="Times New Roman" w:cs="Times New Roman"/>
          <w:sz w:val="28"/>
        </w:rPr>
        <w:t xml:space="preserve"> год </w:t>
      </w:r>
      <w:r w:rsidR="00665859" w:rsidRPr="00137FA3">
        <w:rPr>
          <w:rFonts w:ascii="Times New Roman" w:hAnsi="Times New Roman" w:cs="Times New Roman"/>
          <w:sz w:val="28"/>
        </w:rPr>
        <w:t>ОЭСР</w:t>
      </w:r>
      <w:r w:rsidR="00DE19DD">
        <w:rPr>
          <w:rFonts w:ascii="Times New Roman" w:hAnsi="Times New Roman" w:cs="Times New Roman"/>
          <w:sz w:val="28"/>
        </w:rPr>
        <w:t xml:space="preserve"> </w:t>
      </w:r>
      <w:r w:rsidR="00DE19DD" w:rsidRPr="00C72989">
        <w:rPr>
          <w:rFonts w:ascii="Times New Roman" w:hAnsi="Times New Roman" w:cs="Times New Roman"/>
          <w:sz w:val="28"/>
        </w:rPr>
        <w:t>[4]</w:t>
      </w:r>
      <w:r w:rsidR="00DE19DD">
        <w:rPr>
          <w:rFonts w:ascii="Times New Roman" w:hAnsi="Times New Roman" w:cs="Times New Roman"/>
          <w:sz w:val="28"/>
        </w:rPr>
        <w:t xml:space="preserve"> и данные Росстата за 2015 год по России </w:t>
      </w:r>
      <w:r w:rsidR="00DE19DD" w:rsidRPr="0077743D">
        <w:rPr>
          <w:rFonts w:ascii="Times New Roman" w:hAnsi="Times New Roman" w:cs="Times New Roman"/>
          <w:sz w:val="28"/>
        </w:rPr>
        <w:t>[5]</w:t>
      </w:r>
      <w:r w:rsidR="00665859">
        <w:rPr>
          <w:rFonts w:ascii="Times New Roman" w:hAnsi="Times New Roman" w:cs="Times New Roman"/>
          <w:sz w:val="28"/>
        </w:rPr>
        <w:t>.</w:t>
      </w:r>
    </w:p>
    <w:p w:rsidR="00313102" w:rsidRDefault="00313102" w:rsidP="00A4680E">
      <w:pPr>
        <w:jc w:val="both"/>
        <w:rPr>
          <w:rFonts w:ascii="Times New Roman" w:hAnsi="Times New Roman" w:cs="Times New Roman"/>
          <w:sz w:val="28"/>
        </w:rPr>
      </w:pPr>
      <w:r w:rsidRPr="00CE29B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14B12B3" wp14:editId="481939DD">
            <wp:extent cx="6645910" cy="9478443"/>
            <wp:effectExtent l="0" t="0" r="254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15A0" w:rsidRDefault="008D4B9B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Из приведённых данных видно, что Россия по числу служащих государству в процентах к всему работающему населению опередила лишь Японию, отставая от США более чем в 2 раза, от Франции примерно в 3 раза. При этом можно утверждать, что это экономически благополучные страны с развитым институтом государственной службы. </w:t>
      </w:r>
      <w:r w:rsidR="00B522F8">
        <w:rPr>
          <w:rFonts w:ascii="Times New Roman" w:hAnsi="Times New Roman" w:cs="Times New Roman"/>
          <w:sz w:val="28"/>
        </w:rPr>
        <w:t xml:space="preserve">Получается, что в нашей стране </w:t>
      </w:r>
      <w:r w:rsidR="003C61FF">
        <w:rPr>
          <w:rFonts w:ascii="Times New Roman" w:hAnsi="Times New Roman" w:cs="Times New Roman"/>
          <w:sz w:val="28"/>
        </w:rPr>
        <w:t>относительно достаточно</w:t>
      </w:r>
      <w:r w:rsidR="00B522F8" w:rsidRPr="003C61FF">
        <w:rPr>
          <w:rFonts w:ascii="Times New Roman" w:hAnsi="Times New Roman" w:cs="Times New Roman"/>
          <w:sz w:val="28"/>
        </w:rPr>
        <w:t xml:space="preserve"> низки</w:t>
      </w:r>
      <w:r w:rsidR="003C61FF">
        <w:rPr>
          <w:rFonts w:ascii="Times New Roman" w:hAnsi="Times New Roman" w:cs="Times New Roman"/>
          <w:sz w:val="28"/>
        </w:rPr>
        <w:t>е</w:t>
      </w:r>
      <w:r w:rsidR="00B522F8" w:rsidRPr="003C61FF">
        <w:rPr>
          <w:rFonts w:ascii="Times New Roman" w:hAnsi="Times New Roman" w:cs="Times New Roman"/>
          <w:sz w:val="28"/>
        </w:rPr>
        <w:t xml:space="preserve"> зарплат</w:t>
      </w:r>
      <w:r w:rsidR="003C61FF">
        <w:rPr>
          <w:rFonts w:ascii="Times New Roman" w:hAnsi="Times New Roman" w:cs="Times New Roman"/>
          <w:sz w:val="28"/>
        </w:rPr>
        <w:t>ы</w:t>
      </w:r>
      <w:r w:rsidR="001D0F27">
        <w:rPr>
          <w:rFonts w:ascii="Times New Roman" w:hAnsi="Times New Roman" w:cs="Times New Roman"/>
          <w:sz w:val="28"/>
        </w:rPr>
        <w:t xml:space="preserve"> у</w:t>
      </w:r>
      <w:r w:rsidR="00B522F8">
        <w:rPr>
          <w:rFonts w:ascii="Times New Roman" w:hAnsi="Times New Roman" w:cs="Times New Roman"/>
          <w:sz w:val="28"/>
        </w:rPr>
        <w:t xml:space="preserve"> чиновников федерального уровня</w:t>
      </w:r>
      <w:r w:rsidR="00D368E0">
        <w:rPr>
          <w:rFonts w:ascii="Times New Roman" w:hAnsi="Times New Roman" w:cs="Times New Roman"/>
          <w:sz w:val="28"/>
        </w:rPr>
        <w:t xml:space="preserve"> и при этом один из наименьших показателей численности на душу населения. </w:t>
      </w:r>
      <w:r w:rsidR="00D51C1F">
        <w:rPr>
          <w:rFonts w:ascii="Times New Roman" w:hAnsi="Times New Roman" w:cs="Times New Roman"/>
          <w:sz w:val="28"/>
        </w:rPr>
        <w:t xml:space="preserve">Предложенные цифры представляют возможность объективно взглянуть на ситуацию. </w:t>
      </w:r>
    </w:p>
    <w:p w:rsidR="00EE2D9F" w:rsidRDefault="00EE2D9F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все вышеизложенные данные, в средствах массовой информации культивируется миф о чрезмерно большом аппарате государственного управления в нашей стране и колоссальных затратах на его содержание. Однако на графике отчётливо видно, что есть зависимость между количеством чиновников в стране и степенью экономического благополучия. Доказать, либо же опровергнуть этот тезис можно при помощи</w:t>
      </w:r>
      <w:r w:rsidR="008175FB">
        <w:rPr>
          <w:rFonts w:ascii="Times New Roman" w:hAnsi="Times New Roman" w:cs="Times New Roman"/>
          <w:sz w:val="28"/>
        </w:rPr>
        <w:t xml:space="preserve"> показателя</w:t>
      </w:r>
      <w:r>
        <w:rPr>
          <w:rFonts w:ascii="Times New Roman" w:hAnsi="Times New Roman" w:cs="Times New Roman"/>
          <w:sz w:val="28"/>
        </w:rPr>
        <w:t xml:space="preserve"> ВВП</w:t>
      </w:r>
      <w:r w:rsidR="008175FB">
        <w:rPr>
          <w:rFonts w:ascii="Times New Roman" w:hAnsi="Times New Roman" w:cs="Times New Roman"/>
          <w:sz w:val="28"/>
        </w:rPr>
        <w:t xml:space="preserve"> на душу населения. На графике ниже отображены те же значения количества чиновников в % от общего числа работающих и ВВП на душу населения за 2015 год (в долларах США, текущих ценах) по данным Всемирного Банка [6</w:t>
      </w:r>
      <w:r w:rsidR="008175FB" w:rsidRPr="0077743D">
        <w:rPr>
          <w:rFonts w:ascii="Times New Roman" w:hAnsi="Times New Roman" w:cs="Times New Roman"/>
          <w:sz w:val="28"/>
        </w:rPr>
        <w:t>]</w:t>
      </w:r>
      <w:r w:rsidR="008175FB">
        <w:rPr>
          <w:rFonts w:ascii="Times New Roman" w:hAnsi="Times New Roman" w:cs="Times New Roman"/>
          <w:sz w:val="28"/>
        </w:rPr>
        <w:t>.</w:t>
      </w:r>
    </w:p>
    <w:p w:rsidR="00EE2D9F" w:rsidRDefault="001525B3" w:rsidP="00A4680E">
      <w:pPr>
        <w:jc w:val="both"/>
        <w:rPr>
          <w:rFonts w:ascii="Times New Roman" w:hAnsi="Times New Roman" w:cs="Times New Roman"/>
          <w:sz w:val="28"/>
        </w:rPr>
      </w:pPr>
      <w:r w:rsidRPr="00CE29B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BBBE90C" wp14:editId="42E825E2">
            <wp:extent cx="6645910" cy="9753600"/>
            <wp:effectExtent l="0" t="0" r="25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1C1F" w:rsidRDefault="00D96E84" w:rsidP="00A468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такой таблице достаточно трудно проследить зависимость двух показателей и определить её точно. Измерить её степень можно при помощи коэффициента корреляции. Он позволяет определить функциональную</w:t>
      </w:r>
      <w:r w:rsidRPr="00C43909">
        <w:rPr>
          <w:rFonts w:ascii="Times New Roman" w:hAnsi="Times New Roman" w:cs="Times New Roman"/>
          <w:sz w:val="28"/>
        </w:rPr>
        <w:t xml:space="preserve"> взаимосвязь явлений </w:t>
      </w:r>
      <w:r>
        <w:rPr>
          <w:rFonts w:ascii="Times New Roman" w:hAnsi="Times New Roman" w:cs="Times New Roman"/>
          <w:sz w:val="28"/>
        </w:rPr>
        <w:t>как вероятностную</w:t>
      </w:r>
      <w:r w:rsidRPr="00C43909">
        <w:rPr>
          <w:rFonts w:ascii="Times New Roman" w:hAnsi="Times New Roman" w:cs="Times New Roman"/>
          <w:sz w:val="28"/>
        </w:rPr>
        <w:t xml:space="preserve"> связь соответствующих признаков</w:t>
      </w:r>
      <w:r>
        <w:rPr>
          <w:rFonts w:ascii="Times New Roman" w:hAnsi="Times New Roman" w:cs="Times New Roman"/>
          <w:sz w:val="28"/>
        </w:rPr>
        <w:t>. П</w:t>
      </w:r>
      <w:r w:rsidR="00B053BC">
        <w:rPr>
          <w:rFonts w:ascii="Times New Roman" w:hAnsi="Times New Roman" w:cs="Times New Roman"/>
          <w:sz w:val="28"/>
        </w:rPr>
        <w:t>осле п</w:t>
      </w:r>
      <w:r>
        <w:rPr>
          <w:rFonts w:ascii="Times New Roman" w:hAnsi="Times New Roman" w:cs="Times New Roman"/>
          <w:sz w:val="28"/>
        </w:rPr>
        <w:t>роизвед</w:t>
      </w:r>
      <w:r w:rsidR="00B053BC">
        <w:rPr>
          <w:rFonts w:ascii="Times New Roman" w:hAnsi="Times New Roman" w:cs="Times New Roman"/>
          <w:sz w:val="28"/>
        </w:rPr>
        <w:t>ени</w:t>
      </w:r>
      <w:r>
        <w:rPr>
          <w:rFonts w:ascii="Times New Roman" w:hAnsi="Times New Roman" w:cs="Times New Roman"/>
          <w:sz w:val="28"/>
        </w:rPr>
        <w:t>я все</w:t>
      </w:r>
      <w:r w:rsidR="00B053B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необходимы</w:t>
      </w:r>
      <w:r w:rsidR="00B053B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расчёт</w:t>
      </w:r>
      <w:r w:rsidR="00B053BC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коэффициент корреляции определён</w:t>
      </w:r>
      <w:r w:rsidR="00381438">
        <w:rPr>
          <w:rFonts w:ascii="Times New Roman" w:hAnsi="Times New Roman" w:cs="Times New Roman"/>
          <w:sz w:val="28"/>
        </w:rPr>
        <w:t>: примерно 0,27. Эта цифра позволяет нам говорить о наличии слабой связи между процентным соотношением чиновников и ВВП на душу населения в стране.</w:t>
      </w:r>
      <w:r w:rsidR="00D01DB5">
        <w:rPr>
          <w:rFonts w:ascii="Times New Roman" w:hAnsi="Times New Roman" w:cs="Times New Roman"/>
          <w:sz w:val="28"/>
        </w:rPr>
        <w:t xml:space="preserve"> Судя по всему, намного большим значением обладает профессионализм государственных служащих, а также специфика каждого отдельно региона. </w:t>
      </w:r>
      <w:r w:rsidR="00381438">
        <w:rPr>
          <w:rFonts w:ascii="Times New Roman" w:hAnsi="Times New Roman" w:cs="Times New Roman"/>
          <w:sz w:val="28"/>
        </w:rPr>
        <w:t>Тем не менее, а</w:t>
      </w:r>
      <w:r w:rsidR="00431A88">
        <w:rPr>
          <w:rFonts w:ascii="Times New Roman" w:hAnsi="Times New Roman" w:cs="Times New Roman"/>
          <w:sz w:val="28"/>
        </w:rPr>
        <w:t>ппарат управления</w:t>
      </w:r>
      <w:r w:rsidR="00891140">
        <w:rPr>
          <w:rFonts w:ascii="Times New Roman" w:hAnsi="Times New Roman" w:cs="Times New Roman"/>
          <w:sz w:val="28"/>
        </w:rPr>
        <w:t xml:space="preserve"> и непосредственно чиновники несомненно формирую</w:t>
      </w:r>
      <w:r w:rsidR="00431A88">
        <w:rPr>
          <w:rFonts w:ascii="Times New Roman" w:hAnsi="Times New Roman" w:cs="Times New Roman"/>
          <w:sz w:val="28"/>
        </w:rPr>
        <w:t>т государственную экономическую политику</w:t>
      </w:r>
      <w:r w:rsidR="00891140">
        <w:rPr>
          <w:rFonts w:ascii="Times New Roman" w:hAnsi="Times New Roman" w:cs="Times New Roman"/>
          <w:sz w:val="28"/>
        </w:rPr>
        <w:t xml:space="preserve"> и влияю</w:t>
      </w:r>
      <w:r w:rsidR="00431A88">
        <w:rPr>
          <w:rFonts w:ascii="Times New Roman" w:hAnsi="Times New Roman" w:cs="Times New Roman"/>
          <w:sz w:val="28"/>
        </w:rPr>
        <w:t>т на всё финансовое благосостояние страны. Характеризует это благополучие показатель валового внутреннего продукта, рассчитанного по паритету покупательской способности</w:t>
      </w:r>
      <w:r w:rsidR="00891140">
        <w:rPr>
          <w:rFonts w:ascii="Times New Roman" w:hAnsi="Times New Roman" w:cs="Times New Roman"/>
          <w:sz w:val="28"/>
        </w:rPr>
        <w:t>,</w:t>
      </w:r>
      <w:r w:rsidR="00891140" w:rsidRPr="00891140">
        <w:rPr>
          <w:rFonts w:ascii="Times New Roman" w:hAnsi="Times New Roman" w:cs="Times New Roman"/>
          <w:sz w:val="28"/>
        </w:rPr>
        <w:t xml:space="preserve"> то есть с поправкой на уровень цен в экономике страны</w:t>
      </w:r>
      <w:r w:rsidR="00891140">
        <w:rPr>
          <w:rFonts w:ascii="Times New Roman" w:hAnsi="Times New Roman" w:cs="Times New Roman"/>
          <w:sz w:val="28"/>
        </w:rPr>
        <w:t>.</w:t>
      </w:r>
      <w:r w:rsidR="00431A88">
        <w:rPr>
          <w:rFonts w:ascii="Times New Roman" w:hAnsi="Times New Roman" w:cs="Times New Roman"/>
          <w:sz w:val="28"/>
        </w:rPr>
        <w:t xml:space="preserve"> Представляется возможным соотнести динамику последних лет по численности чиновников (всего) к показателю ВВП по ППС в ценах 2011 года. </w:t>
      </w:r>
      <w:r w:rsidR="00D22DA3">
        <w:rPr>
          <w:rFonts w:ascii="Times New Roman" w:hAnsi="Times New Roman" w:cs="Times New Roman"/>
          <w:sz w:val="28"/>
        </w:rPr>
        <w:t xml:space="preserve">На графике ниже представлены эти данные с 2010 по 2015 год, составленные по открытым материалам Росстата. </w:t>
      </w:r>
    </w:p>
    <w:p w:rsidR="005A5AF3" w:rsidRDefault="005A5AF3" w:rsidP="00A4680E">
      <w:pPr>
        <w:jc w:val="both"/>
        <w:rPr>
          <w:rFonts w:ascii="Times New Roman" w:hAnsi="Times New Roman" w:cs="Times New Roman"/>
          <w:sz w:val="28"/>
        </w:rPr>
      </w:pPr>
      <w:r w:rsidRPr="00CE29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F26597" wp14:editId="193007CE">
            <wp:extent cx="6645910" cy="2771775"/>
            <wp:effectExtent l="0" t="0" r="254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217" w:rsidRDefault="0084427D" w:rsidP="000A3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Определённая зависимость</w:t>
      </w:r>
      <w:r w:rsidR="000A32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прослеживается</w:t>
      </w:r>
      <w:r w:rsidR="00B053BC" w:rsidRPr="00B053BC">
        <w:rPr>
          <w:rFonts w:ascii="Times New Roman" w:hAnsi="Times New Roman" w:cs="Times New Roman"/>
          <w:sz w:val="28"/>
        </w:rPr>
        <w:t xml:space="preserve"> </w:t>
      </w:r>
      <w:r w:rsidR="00B053BC">
        <w:rPr>
          <w:rFonts w:ascii="Times New Roman" w:hAnsi="Times New Roman" w:cs="Times New Roman"/>
          <w:sz w:val="28"/>
        </w:rPr>
        <w:t>на графике</w:t>
      </w:r>
      <w:r w:rsidR="000A3217">
        <w:rPr>
          <w:rFonts w:ascii="Times New Roman" w:hAnsi="Times New Roman" w:cs="Times New Roman"/>
          <w:sz w:val="28"/>
        </w:rPr>
        <w:t>, однако она требует математического подтверждения. Измерить степень зависимости названных величин можно</w:t>
      </w:r>
      <w:r w:rsidR="00F70D11">
        <w:rPr>
          <w:rFonts w:ascii="Times New Roman" w:hAnsi="Times New Roman" w:cs="Times New Roman"/>
          <w:sz w:val="28"/>
        </w:rPr>
        <w:t xml:space="preserve"> вновь</w:t>
      </w:r>
      <w:r w:rsidR="000A3217">
        <w:rPr>
          <w:rFonts w:ascii="Times New Roman" w:hAnsi="Times New Roman" w:cs="Times New Roman"/>
          <w:sz w:val="28"/>
        </w:rPr>
        <w:t xml:space="preserve"> при помощи коэффициента корреляции.</w:t>
      </w:r>
      <w:r w:rsidR="00C43909">
        <w:rPr>
          <w:rFonts w:ascii="Times New Roman" w:hAnsi="Times New Roman" w:cs="Times New Roman"/>
          <w:sz w:val="28"/>
        </w:rPr>
        <w:t xml:space="preserve"> </w:t>
      </w:r>
      <w:r w:rsidR="000A3217">
        <w:rPr>
          <w:rFonts w:ascii="Times New Roman" w:hAnsi="Times New Roman" w:cs="Times New Roman"/>
          <w:sz w:val="28"/>
        </w:rPr>
        <w:t>П</w:t>
      </w:r>
      <w:r w:rsidR="00B053BC">
        <w:rPr>
          <w:rFonts w:ascii="Times New Roman" w:hAnsi="Times New Roman" w:cs="Times New Roman"/>
          <w:sz w:val="28"/>
        </w:rPr>
        <w:t>осле п</w:t>
      </w:r>
      <w:r w:rsidR="000A3217">
        <w:rPr>
          <w:rFonts w:ascii="Times New Roman" w:hAnsi="Times New Roman" w:cs="Times New Roman"/>
          <w:sz w:val="28"/>
        </w:rPr>
        <w:t>роизвед</w:t>
      </w:r>
      <w:r w:rsidR="00B053BC">
        <w:rPr>
          <w:rFonts w:ascii="Times New Roman" w:hAnsi="Times New Roman" w:cs="Times New Roman"/>
          <w:sz w:val="28"/>
        </w:rPr>
        <w:t>ени</w:t>
      </w:r>
      <w:r w:rsidR="000A3217">
        <w:rPr>
          <w:rFonts w:ascii="Times New Roman" w:hAnsi="Times New Roman" w:cs="Times New Roman"/>
          <w:sz w:val="28"/>
        </w:rPr>
        <w:t>я все</w:t>
      </w:r>
      <w:r w:rsidR="00B053BC">
        <w:rPr>
          <w:rFonts w:ascii="Times New Roman" w:hAnsi="Times New Roman" w:cs="Times New Roman"/>
          <w:sz w:val="28"/>
        </w:rPr>
        <w:t>х необходимых</w:t>
      </w:r>
      <w:r w:rsidR="000A3217">
        <w:rPr>
          <w:rFonts w:ascii="Times New Roman" w:hAnsi="Times New Roman" w:cs="Times New Roman"/>
          <w:sz w:val="28"/>
        </w:rPr>
        <w:t xml:space="preserve"> расчёт</w:t>
      </w:r>
      <w:r w:rsidR="00B053BC">
        <w:rPr>
          <w:rFonts w:ascii="Times New Roman" w:hAnsi="Times New Roman" w:cs="Times New Roman"/>
          <w:sz w:val="28"/>
        </w:rPr>
        <w:t>ов</w:t>
      </w:r>
      <w:r w:rsidR="000A3217">
        <w:rPr>
          <w:rFonts w:ascii="Times New Roman" w:hAnsi="Times New Roman" w:cs="Times New Roman"/>
          <w:sz w:val="28"/>
        </w:rPr>
        <w:t xml:space="preserve"> было определено</w:t>
      </w:r>
      <w:r w:rsidR="005A34A6">
        <w:rPr>
          <w:rFonts w:ascii="Times New Roman" w:hAnsi="Times New Roman" w:cs="Times New Roman"/>
          <w:sz w:val="28"/>
        </w:rPr>
        <w:t xml:space="preserve"> его</w:t>
      </w:r>
      <w:r w:rsidR="000A3217">
        <w:rPr>
          <w:rFonts w:ascii="Times New Roman" w:hAnsi="Times New Roman" w:cs="Times New Roman"/>
          <w:sz w:val="28"/>
        </w:rPr>
        <w:t xml:space="preserve"> значение:</w:t>
      </w:r>
      <w:r w:rsidR="00C43909">
        <w:rPr>
          <w:rFonts w:ascii="Times New Roman" w:hAnsi="Times New Roman" w:cs="Times New Roman"/>
          <w:sz w:val="28"/>
        </w:rPr>
        <w:t xml:space="preserve"> примерно</w:t>
      </w:r>
      <w:r w:rsidR="000A3217">
        <w:rPr>
          <w:rFonts w:ascii="Times New Roman" w:hAnsi="Times New Roman" w:cs="Times New Roman"/>
          <w:sz w:val="28"/>
        </w:rPr>
        <w:t xml:space="preserve"> </w:t>
      </w:r>
      <w:r w:rsidR="000A3217" w:rsidRPr="000A3217">
        <w:rPr>
          <w:rFonts w:ascii="Times New Roman" w:hAnsi="Times New Roman" w:cs="Times New Roman"/>
          <w:sz w:val="28"/>
        </w:rPr>
        <w:t>0,4</w:t>
      </w:r>
      <w:r w:rsidR="00C43909">
        <w:rPr>
          <w:rFonts w:ascii="Times New Roman" w:hAnsi="Times New Roman" w:cs="Times New Roman"/>
          <w:sz w:val="28"/>
        </w:rPr>
        <w:t>7</w:t>
      </w:r>
      <w:r w:rsidR="000A3217">
        <w:rPr>
          <w:rFonts w:ascii="Times New Roman" w:hAnsi="Times New Roman" w:cs="Times New Roman"/>
          <w:sz w:val="28"/>
        </w:rPr>
        <w:t xml:space="preserve">. </w:t>
      </w:r>
      <w:r w:rsidR="005A34A6">
        <w:rPr>
          <w:rFonts w:ascii="Times New Roman" w:hAnsi="Times New Roman" w:cs="Times New Roman"/>
          <w:sz w:val="28"/>
        </w:rPr>
        <w:t>Оно</w:t>
      </w:r>
      <w:r w:rsidR="00C43909">
        <w:rPr>
          <w:rFonts w:ascii="Times New Roman" w:hAnsi="Times New Roman" w:cs="Times New Roman"/>
          <w:sz w:val="28"/>
        </w:rPr>
        <w:t xml:space="preserve"> попадает в пределы от 0,3 до 0,7, поэтому можно говорить об умеренной корреляции (исключая варианты сильной, либо слабой корреляции). Говоря проще, определённая взаимосвязь есть, но недостаточно сильная для того, чтобы утверждать о полной взаимозависимости двух величин. Тем не менее, зависимость есть. Можно предположить, что падение ВВП влечёт за собой сокращение аппарата чиновников, однако, можно применить и обратную логику: ВВП страны увеличивается вместе с ростом числа чиновников. Данная гипотеза нуждается в более детальной научной проработке </w:t>
      </w:r>
      <w:r w:rsidR="00C93369">
        <w:rPr>
          <w:rFonts w:ascii="Times New Roman" w:hAnsi="Times New Roman" w:cs="Times New Roman"/>
          <w:sz w:val="28"/>
        </w:rPr>
        <w:t>и дополнительных исследованиях.</w:t>
      </w:r>
    </w:p>
    <w:p w:rsidR="001B6D94" w:rsidRDefault="00C93369" w:rsidP="000A3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Вышеизложенные показатели не дали чёткого ответа на поставленные вопросы. Поэтому предлагается модернизировать общепринятую методику. Судя по всему, нет </w:t>
      </w:r>
      <w:r>
        <w:rPr>
          <w:rFonts w:ascii="Times New Roman" w:hAnsi="Times New Roman" w:cs="Times New Roman"/>
          <w:sz w:val="28"/>
        </w:rPr>
        <w:lastRenderedPageBreak/>
        <w:t xml:space="preserve">прямой связи между экономическим благосостоянием и количеством чиновников, однако, возможно, она есть для отношения экономического благосостояния к плотности чиновников на конкретной территории. </w:t>
      </w:r>
    </w:p>
    <w:p w:rsidR="00C93369" w:rsidRDefault="00C93369" w:rsidP="000A3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государственных служащих обусловлена определённой спецификой. </w:t>
      </w:r>
      <w:r w:rsidR="00B053BC">
        <w:rPr>
          <w:rFonts w:ascii="Times New Roman" w:hAnsi="Times New Roman" w:cs="Times New Roman"/>
          <w:sz w:val="28"/>
        </w:rPr>
        <w:t>Одним из п</w:t>
      </w:r>
      <w:r>
        <w:rPr>
          <w:rFonts w:ascii="Times New Roman" w:hAnsi="Times New Roman" w:cs="Times New Roman"/>
          <w:sz w:val="28"/>
        </w:rPr>
        <w:t>редмето</w:t>
      </w:r>
      <w:r w:rsidR="00B053B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их регулирования выступа</w:t>
      </w:r>
      <w:r w:rsidR="00B053B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общество (социальные группы)</w:t>
      </w:r>
      <w:r w:rsidR="00B053BC">
        <w:rPr>
          <w:rFonts w:ascii="Times New Roman" w:hAnsi="Times New Roman" w:cs="Times New Roman"/>
          <w:sz w:val="28"/>
        </w:rPr>
        <w:t>, другим -</w:t>
      </w:r>
      <w:r>
        <w:rPr>
          <w:rFonts w:ascii="Times New Roman" w:hAnsi="Times New Roman" w:cs="Times New Roman"/>
          <w:sz w:val="28"/>
        </w:rPr>
        <w:t xml:space="preserve"> абстрактные экономически</w:t>
      </w:r>
      <w:r w:rsidR="00900E2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показатели. </w:t>
      </w:r>
      <w:r w:rsidR="00900E20">
        <w:rPr>
          <w:rFonts w:ascii="Times New Roman" w:hAnsi="Times New Roman" w:cs="Times New Roman"/>
          <w:sz w:val="28"/>
        </w:rPr>
        <w:t xml:space="preserve">Этим предметом может быть и территория. Проще говоря, определённое количество чиновников должно обслуживать жилищно-коммунальное хозяйство, дороги и водоёмы, протяжённость которых никак не коррелирует с количеством жителей, проживающих на данной </w:t>
      </w:r>
      <w:r w:rsidR="007738CC">
        <w:rPr>
          <w:rFonts w:ascii="Times New Roman" w:hAnsi="Times New Roman" w:cs="Times New Roman"/>
          <w:sz w:val="28"/>
        </w:rPr>
        <w:t>территории</w:t>
      </w:r>
      <w:r w:rsidR="00C0178C">
        <w:rPr>
          <w:rFonts w:ascii="Times New Roman" w:hAnsi="Times New Roman" w:cs="Times New Roman"/>
          <w:sz w:val="28"/>
        </w:rPr>
        <w:t>.</w:t>
      </w:r>
      <w:r w:rsidR="00773731">
        <w:rPr>
          <w:rFonts w:ascii="Times New Roman" w:hAnsi="Times New Roman" w:cs="Times New Roman"/>
          <w:sz w:val="28"/>
        </w:rPr>
        <w:t xml:space="preserve"> При этом, тем больше нужно чиновников, чем больше обслуживаемая площадь.</w:t>
      </w:r>
    </w:p>
    <w:p w:rsidR="00EB1181" w:rsidRDefault="001B6D94" w:rsidP="000A3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Имеет смысл </w:t>
      </w:r>
      <w:r w:rsidR="005A34A6">
        <w:rPr>
          <w:rFonts w:ascii="Times New Roman" w:hAnsi="Times New Roman" w:cs="Times New Roman"/>
          <w:sz w:val="28"/>
        </w:rPr>
        <w:t>определить</w:t>
      </w:r>
      <w:r>
        <w:rPr>
          <w:rFonts w:ascii="Times New Roman" w:hAnsi="Times New Roman" w:cs="Times New Roman"/>
          <w:sz w:val="28"/>
        </w:rPr>
        <w:t xml:space="preserve"> показатель плотности граждан, занятых в государственном секторе</w:t>
      </w:r>
      <w:r w:rsidR="005A34A6">
        <w:rPr>
          <w:rFonts w:ascii="Times New Roman" w:hAnsi="Times New Roman" w:cs="Times New Roman"/>
          <w:sz w:val="28"/>
        </w:rPr>
        <w:t xml:space="preserve"> на один</w:t>
      </w:r>
      <w:r>
        <w:rPr>
          <w:rFonts w:ascii="Times New Roman" w:hAnsi="Times New Roman" w:cs="Times New Roman"/>
          <w:sz w:val="28"/>
        </w:rPr>
        <w:t xml:space="preserve"> квадратный километр территории страны. Подобный показатель не рассчитывает ни одно мировое авторитетное статистическое агентство, так как территории большинства высокоразвитых государств несоизмеримо малы, по сравнению с Россией. Именно поэтому подобный показатель должны рассчитывать и распространять </w:t>
      </w:r>
      <w:r w:rsidR="005A34A6">
        <w:rPr>
          <w:rFonts w:ascii="Times New Roman" w:hAnsi="Times New Roman" w:cs="Times New Roman"/>
          <w:sz w:val="28"/>
        </w:rPr>
        <w:t>в мировом научном сообществе</w:t>
      </w:r>
      <w:r>
        <w:rPr>
          <w:rFonts w:ascii="Times New Roman" w:hAnsi="Times New Roman" w:cs="Times New Roman"/>
          <w:sz w:val="28"/>
        </w:rPr>
        <w:t xml:space="preserve"> отечественные статисты. </w:t>
      </w:r>
    </w:p>
    <w:p w:rsidR="00C0178C" w:rsidRPr="00A10555" w:rsidRDefault="00C0178C" w:rsidP="000A3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анализа</w:t>
      </w:r>
      <w:r w:rsidR="00A10555">
        <w:rPr>
          <w:rFonts w:ascii="Times New Roman" w:hAnsi="Times New Roman" w:cs="Times New Roman"/>
          <w:sz w:val="28"/>
        </w:rPr>
        <w:t xml:space="preserve"> и сравнения были отобраны шесть</w:t>
      </w:r>
      <w:r>
        <w:rPr>
          <w:rFonts w:ascii="Times New Roman" w:hAnsi="Times New Roman" w:cs="Times New Roman"/>
          <w:sz w:val="28"/>
        </w:rPr>
        <w:t xml:space="preserve"> экономически успешных стран. </w:t>
      </w:r>
      <w:r w:rsidR="00EB1181">
        <w:rPr>
          <w:rFonts w:ascii="Times New Roman" w:hAnsi="Times New Roman" w:cs="Times New Roman"/>
          <w:sz w:val="28"/>
        </w:rPr>
        <w:t>Ввиду специфичности проводимого исследования</w:t>
      </w:r>
      <w:r w:rsidR="004B499F">
        <w:rPr>
          <w:rFonts w:ascii="Times New Roman" w:hAnsi="Times New Roman" w:cs="Times New Roman"/>
          <w:sz w:val="28"/>
        </w:rPr>
        <w:t xml:space="preserve"> и столь узкоспециализированного круга вопросов, автору пришлось использовать самые актуальные данные из официальных статистических баз исследуемых стран. Однако эти данные существенно отличаются по году издания и привести их в соответствие не представляется возможным. </w:t>
      </w:r>
      <w:r w:rsidR="00534178">
        <w:rPr>
          <w:rFonts w:ascii="Times New Roman" w:hAnsi="Times New Roman" w:cs="Times New Roman"/>
          <w:sz w:val="28"/>
        </w:rPr>
        <w:t>Поэтому точность расчётов, представленных в таблице ниже, необходимо воспринимать с определённой погрешностью.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1"/>
        <w:gridCol w:w="1757"/>
        <w:gridCol w:w="2398"/>
        <w:gridCol w:w="1905"/>
        <w:gridCol w:w="1905"/>
      </w:tblGrid>
      <w:tr w:rsidR="009C41F2" w:rsidRPr="00DD4AD5" w:rsidTr="009C41F2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1F2" w:rsidRPr="009C41F2" w:rsidRDefault="009C41F2" w:rsidP="00327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Таблица. Плотность чиновников в странах мира</w:t>
            </w:r>
          </w:p>
        </w:tc>
      </w:tr>
      <w:tr w:rsidR="009C41F2" w:rsidRPr="00DD4AD5" w:rsidTr="009C41F2"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DD4AD5" w:rsidRPr="009C41F2" w:rsidRDefault="00DD4AD5" w:rsidP="009C41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Страна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DD4AD5" w:rsidRPr="009C41F2" w:rsidRDefault="00DD4AD5" w:rsidP="009C41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109">
              <w:rPr>
                <w:rFonts w:ascii="Times New Roman" w:hAnsi="Times New Roman" w:cs="Times New Roman"/>
                <w:b/>
                <w:sz w:val="24"/>
              </w:rPr>
              <w:t>Год</w:t>
            </w:r>
            <w:r w:rsidR="004D1F33" w:rsidRPr="00F74109">
              <w:rPr>
                <w:rFonts w:ascii="Times New Roman" w:hAnsi="Times New Roman" w:cs="Times New Roman"/>
                <w:b/>
                <w:sz w:val="24"/>
              </w:rPr>
              <w:t xml:space="preserve"> данных в таблице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DD4AD5" w:rsidRPr="009C41F2" w:rsidRDefault="003275E3" w:rsidP="009C41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4"/>
              </w:rPr>
              <w:t>Количество ч</w:t>
            </w:r>
            <w:r w:rsidR="00DD4AD5" w:rsidRPr="009C41F2">
              <w:rPr>
                <w:rFonts w:ascii="Times New Roman" w:hAnsi="Times New Roman" w:cs="Times New Roman"/>
                <w:b/>
                <w:sz w:val="24"/>
              </w:rPr>
              <w:t>иновников (млн. человек)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DD4AD5" w:rsidRPr="009C41F2" w:rsidRDefault="00DD4AD5" w:rsidP="009C41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</w:rPr>
              <w:t>Площадь государства</w:t>
            </w:r>
            <w:r w:rsidR="004D1F33" w:rsidRPr="009C41F2">
              <w:rPr>
                <w:rFonts w:ascii="Times New Roman" w:hAnsi="Times New Roman" w:cs="Times New Roman"/>
                <w:b/>
              </w:rPr>
              <w:t xml:space="preserve"> (км²)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DD4AD5" w:rsidRPr="009C41F2" w:rsidRDefault="00F74109" w:rsidP="009C41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4"/>
              </w:rPr>
              <w:t>Количество чиновников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 1 </w:t>
            </w:r>
            <w:r w:rsidRPr="009C41F2">
              <w:rPr>
                <w:rFonts w:ascii="Times New Roman" w:hAnsi="Times New Roman" w:cs="Times New Roman"/>
                <w:b/>
              </w:rPr>
              <w:t>км²</w:t>
            </w:r>
          </w:p>
        </w:tc>
      </w:tr>
      <w:tr w:rsidR="00DD4AD5" w:rsidRPr="00DD4AD5" w:rsidTr="009C41F2">
        <w:tc>
          <w:tcPr>
            <w:tcW w:w="2491" w:type="dxa"/>
          </w:tcPr>
          <w:p w:rsidR="00DD4AD5" w:rsidRPr="009C41F2" w:rsidRDefault="00DD4AD5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США</w:t>
            </w:r>
          </w:p>
        </w:tc>
        <w:tc>
          <w:tcPr>
            <w:tcW w:w="1757" w:type="dxa"/>
          </w:tcPr>
          <w:p w:rsidR="00DD4AD5" w:rsidRPr="00DD4AD5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AD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398" w:type="dxa"/>
          </w:tcPr>
          <w:p w:rsidR="00DD4AD5" w:rsidRPr="00DD4AD5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AD5">
              <w:rPr>
                <w:rFonts w:ascii="Times New Roman" w:hAnsi="Times New Roman" w:cs="Times New Roman"/>
                <w:sz w:val="28"/>
              </w:rPr>
              <w:t>16.2</w:t>
            </w:r>
          </w:p>
        </w:tc>
        <w:tc>
          <w:tcPr>
            <w:tcW w:w="1905" w:type="dxa"/>
          </w:tcPr>
          <w:p w:rsidR="00DD4AD5" w:rsidRPr="00DD4AD5" w:rsidRDefault="004D1F33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F33">
              <w:rPr>
                <w:rFonts w:ascii="Times New Roman" w:hAnsi="Times New Roman" w:cs="Times New Roman"/>
                <w:sz w:val="28"/>
              </w:rPr>
              <w:t>9 834 000</w:t>
            </w:r>
          </w:p>
        </w:tc>
        <w:tc>
          <w:tcPr>
            <w:tcW w:w="1905" w:type="dxa"/>
          </w:tcPr>
          <w:p w:rsidR="00DD4AD5" w:rsidRPr="00DD4AD5" w:rsidRDefault="00095AB8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1,648</w:t>
            </w:r>
          </w:p>
        </w:tc>
      </w:tr>
      <w:tr w:rsidR="00DD4AD5" w:rsidRPr="00DD4AD5" w:rsidTr="009C41F2">
        <w:tc>
          <w:tcPr>
            <w:tcW w:w="2491" w:type="dxa"/>
          </w:tcPr>
          <w:p w:rsidR="00DD4AD5" w:rsidRPr="009C41F2" w:rsidRDefault="00DD4AD5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Япония</w:t>
            </w:r>
          </w:p>
        </w:tc>
        <w:tc>
          <w:tcPr>
            <w:tcW w:w="1757" w:type="dxa"/>
          </w:tcPr>
          <w:p w:rsidR="00DD4AD5" w:rsidRPr="00DD4AD5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2398" w:type="dxa"/>
          </w:tcPr>
          <w:p w:rsidR="00DD4AD5" w:rsidRPr="00B444CF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AD5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1905" w:type="dxa"/>
          </w:tcPr>
          <w:p w:rsidR="00DD4AD5" w:rsidRPr="00DD4AD5" w:rsidRDefault="004D1F33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F33">
              <w:rPr>
                <w:rFonts w:ascii="Times New Roman" w:hAnsi="Times New Roman" w:cs="Times New Roman"/>
                <w:sz w:val="28"/>
              </w:rPr>
              <w:t>377 962</w:t>
            </w:r>
          </w:p>
        </w:tc>
        <w:tc>
          <w:tcPr>
            <w:tcW w:w="1905" w:type="dxa"/>
          </w:tcPr>
          <w:p w:rsidR="00DD4AD5" w:rsidRPr="00DD4AD5" w:rsidRDefault="00773731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9,260</w:t>
            </w:r>
          </w:p>
        </w:tc>
      </w:tr>
      <w:tr w:rsidR="0056102A" w:rsidRPr="00DD4AD5" w:rsidTr="009C41F2">
        <w:tc>
          <w:tcPr>
            <w:tcW w:w="2491" w:type="dxa"/>
          </w:tcPr>
          <w:p w:rsidR="0056102A" w:rsidRPr="009C41F2" w:rsidRDefault="00A10555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Южная Корея</w:t>
            </w:r>
          </w:p>
        </w:tc>
        <w:tc>
          <w:tcPr>
            <w:tcW w:w="1757" w:type="dxa"/>
          </w:tcPr>
          <w:p w:rsidR="0056102A" w:rsidRPr="00A10555" w:rsidRDefault="00A10555" w:rsidP="00DD4A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2010</w:t>
            </w:r>
          </w:p>
        </w:tc>
        <w:tc>
          <w:tcPr>
            <w:tcW w:w="2398" w:type="dxa"/>
          </w:tcPr>
          <w:p w:rsidR="0056102A" w:rsidRPr="00A10555" w:rsidRDefault="00A10555" w:rsidP="00DD4A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0.95</w:t>
            </w:r>
          </w:p>
        </w:tc>
        <w:tc>
          <w:tcPr>
            <w:tcW w:w="1905" w:type="dxa"/>
          </w:tcPr>
          <w:p w:rsidR="0056102A" w:rsidRPr="004D1F33" w:rsidRDefault="00A1055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555">
              <w:rPr>
                <w:rFonts w:ascii="Times New Roman" w:hAnsi="Times New Roman" w:cs="Times New Roman"/>
                <w:sz w:val="28"/>
              </w:rPr>
              <w:t>100 210</w:t>
            </w:r>
          </w:p>
        </w:tc>
        <w:tc>
          <w:tcPr>
            <w:tcW w:w="1905" w:type="dxa"/>
          </w:tcPr>
          <w:p w:rsidR="0056102A" w:rsidRDefault="00A1055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9,539</w:t>
            </w:r>
          </w:p>
        </w:tc>
      </w:tr>
      <w:tr w:rsidR="00DD4AD5" w:rsidRPr="00DD4AD5" w:rsidTr="009C41F2">
        <w:tc>
          <w:tcPr>
            <w:tcW w:w="2491" w:type="dxa"/>
          </w:tcPr>
          <w:p w:rsidR="00DD4AD5" w:rsidRPr="009C41F2" w:rsidRDefault="00DD4AD5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Германия</w:t>
            </w:r>
          </w:p>
        </w:tc>
        <w:tc>
          <w:tcPr>
            <w:tcW w:w="1757" w:type="dxa"/>
          </w:tcPr>
          <w:p w:rsidR="00DD4AD5" w:rsidRPr="00DD4AD5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2398" w:type="dxa"/>
          </w:tcPr>
          <w:p w:rsidR="00DD4AD5" w:rsidRPr="00B444CF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AD5"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1905" w:type="dxa"/>
          </w:tcPr>
          <w:p w:rsidR="00DD4AD5" w:rsidRPr="00DD4AD5" w:rsidRDefault="004D1F33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F33">
              <w:rPr>
                <w:rFonts w:ascii="Times New Roman" w:hAnsi="Times New Roman" w:cs="Times New Roman"/>
                <w:sz w:val="28"/>
              </w:rPr>
              <w:t>357 376</w:t>
            </w:r>
          </w:p>
        </w:tc>
        <w:tc>
          <w:tcPr>
            <w:tcW w:w="1905" w:type="dxa"/>
          </w:tcPr>
          <w:p w:rsidR="00DD4AD5" w:rsidRPr="00DD4AD5" w:rsidRDefault="00773731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13,353</w:t>
            </w:r>
          </w:p>
        </w:tc>
      </w:tr>
      <w:tr w:rsidR="00DD4AD5" w:rsidRPr="00DD4AD5" w:rsidTr="009C41F2">
        <w:tc>
          <w:tcPr>
            <w:tcW w:w="2491" w:type="dxa"/>
          </w:tcPr>
          <w:p w:rsidR="00DD4AD5" w:rsidRPr="009C41F2" w:rsidRDefault="00DD4AD5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Великобритания</w:t>
            </w:r>
          </w:p>
        </w:tc>
        <w:tc>
          <w:tcPr>
            <w:tcW w:w="1757" w:type="dxa"/>
          </w:tcPr>
          <w:p w:rsidR="00DD4AD5" w:rsidRPr="00DD4AD5" w:rsidRDefault="00E62A24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398" w:type="dxa"/>
          </w:tcPr>
          <w:p w:rsidR="00DD4AD5" w:rsidRPr="00DD4AD5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AD5">
              <w:rPr>
                <w:rFonts w:ascii="Times New Roman" w:hAnsi="Times New Roman" w:cs="Times New Roman"/>
                <w:sz w:val="28"/>
              </w:rPr>
              <w:t>5.3</w:t>
            </w:r>
          </w:p>
        </w:tc>
        <w:tc>
          <w:tcPr>
            <w:tcW w:w="1905" w:type="dxa"/>
          </w:tcPr>
          <w:p w:rsidR="00DD4AD5" w:rsidRPr="00DD4AD5" w:rsidRDefault="004D1F33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F33">
              <w:rPr>
                <w:rFonts w:ascii="Times New Roman" w:hAnsi="Times New Roman" w:cs="Times New Roman"/>
                <w:sz w:val="28"/>
              </w:rPr>
              <w:t>242 495</w:t>
            </w:r>
          </w:p>
        </w:tc>
        <w:tc>
          <w:tcPr>
            <w:tcW w:w="1905" w:type="dxa"/>
          </w:tcPr>
          <w:p w:rsidR="00DD4AD5" w:rsidRPr="00DD4AD5" w:rsidRDefault="00773731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21,856</w:t>
            </w:r>
          </w:p>
        </w:tc>
      </w:tr>
      <w:tr w:rsidR="00E62A24" w:rsidRPr="00DD4AD5" w:rsidTr="009C41F2">
        <w:tc>
          <w:tcPr>
            <w:tcW w:w="2491" w:type="dxa"/>
          </w:tcPr>
          <w:p w:rsidR="00E62A24" w:rsidRPr="009C41F2" w:rsidRDefault="00E62A24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Франция</w:t>
            </w:r>
          </w:p>
        </w:tc>
        <w:tc>
          <w:tcPr>
            <w:tcW w:w="1757" w:type="dxa"/>
          </w:tcPr>
          <w:p w:rsidR="00E62A24" w:rsidRDefault="00E62A24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2398" w:type="dxa"/>
          </w:tcPr>
          <w:p w:rsidR="00E62A24" w:rsidRPr="00DD4AD5" w:rsidRDefault="00E62A24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2A24">
              <w:rPr>
                <w:rFonts w:ascii="Times New Roman" w:hAnsi="Times New Roman" w:cs="Times New Roman"/>
                <w:sz w:val="28"/>
              </w:rPr>
              <w:t>5.3</w:t>
            </w:r>
          </w:p>
        </w:tc>
        <w:tc>
          <w:tcPr>
            <w:tcW w:w="1905" w:type="dxa"/>
          </w:tcPr>
          <w:p w:rsidR="00E62A24" w:rsidRPr="004D1F33" w:rsidRDefault="00E62A24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2A24">
              <w:rPr>
                <w:rFonts w:ascii="Times New Roman" w:hAnsi="Times New Roman" w:cs="Times New Roman"/>
                <w:sz w:val="28"/>
              </w:rPr>
              <w:t>643 801</w:t>
            </w:r>
          </w:p>
        </w:tc>
        <w:tc>
          <w:tcPr>
            <w:tcW w:w="1905" w:type="dxa"/>
          </w:tcPr>
          <w:p w:rsidR="00E62A24" w:rsidRPr="0056102A" w:rsidRDefault="00E62A24" w:rsidP="00DD4A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8,232</w:t>
            </w:r>
          </w:p>
        </w:tc>
      </w:tr>
      <w:tr w:rsidR="00DD4AD5" w:rsidRPr="00DD4AD5" w:rsidTr="009C41F2">
        <w:tc>
          <w:tcPr>
            <w:tcW w:w="2491" w:type="dxa"/>
          </w:tcPr>
          <w:p w:rsidR="00DD4AD5" w:rsidRPr="009C41F2" w:rsidRDefault="00DD4AD5" w:rsidP="000A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1F2">
              <w:rPr>
                <w:rFonts w:ascii="Times New Roman" w:hAnsi="Times New Roman" w:cs="Times New Roman"/>
                <w:b/>
                <w:sz w:val="28"/>
              </w:rPr>
              <w:t>Россия</w:t>
            </w:r>
          </w:p>
        </w:tc>
        <w:tc>
          <w:tcPr>
            <w:tcW w:w="1757" w:type="dxa"/>
          </w:tcPr>
          <w:p w:rsidR="00DD4AD5" w:rsidRDefault="00DD4AD5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398" w:type="dxa"/>
          </w:tcPr>
          <w:p w:rsidR="00DD4AD5" w:rsidRPr="00DD4AD5" w:rsidRDefault="00364F1E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5.6</w:t>
            </w:r>
            <w:r w:rsidRPr="009C41F2"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</w:p>
        </w:tc>
        <w:tc>
          <w:tcPr>
            <w:tcW w:w="1905" w:type="dxa"/>
          </w:tcPr>
          <w:p w:rsidR="00DD4AD5" w:rsidRPr="00DD4AD5" w:rsidRDefault="004D1F33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F33">
              <w:rPr>
                <w:rFonts w:ascii="Times New Roman" w:hAnsi="Times New Roman" w:cs="Times New Roman"/>
                <w:sz w:val="28"/>
              </w:rPr>
              <w:t>17 100 000</w:t>
            </w:r>
          </w:p>
        </w:tc>
        <w:tc>
          <w:tcPr>
            <w:tcW w:w="1905" w:type="dxa"/>
          </w:tcPr>
          <w:p w:rsidR="00DD4AD5" w:rsidRPr="00DD4AD5" w:rsidRDefault="00773731" w:rsidP="00DD4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0,327</w:t>
            </w:r>
          </w:p>
        </w:tc>
      </w:tr>
      <w:tr w:rsidR="00364F1E" w:rsidRPr="00DD4AD5" w:rsidTr="009C41F2">
        <w:trPr>
          <w:trHeight w:val="660"/>
        </w:trPr>
        <w:tc>
          <w:tcPr>
            <w:tcW w:w="10456" w:type="dxa"/>
            <w:gridSpan w:val="5"/>
          </w:tcPr>
          <w:p w:rsidR="00364F1E" w:rsidRPr="00364F1E" w:rsidRDefault="00364F1E" w:rsidP="00364F1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C41F2">
              <w:rPr>
                <w:rFonts w:ascii="Times New Roman" w:hAnsi="Times New Roman" w:cs="Times New Roman"/>
                <w:b/>
                <w:i/>
                <w:sz w:val="24"/>
              </w:rPr>
              <w:t xml:space="preserve">* </w:t>
            </w:r>
            <w:r w:rsidRPr="00364F1E">
              <w:rPr>
                <w:rFonts w:ascii="Times New Roman" w:hAnsi="Times New Roman" w:cs="Times New Roman"/>
                <w:i/>
                <w:sz w:val="24"/>
              </w:rPr>
              <w:t>Получено путём выделения процента чиновников (7,4 %) от общего числа всего работающего населения (76</w:t>
            </w:r>
            <w:r w:rsidR="0053417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64F1E">
              <w:rPr>
                <w:rFonts w:ascii="Times New Roman" w:hAnsi="Times New Roman" w:cs="Times New Roman"/>
                <w:i/>
                <w:sz w:val="24"/>
              </w:rPr>
              <w:t>636 тыс. человек) по данным Росстата за 2016 год.</w:t>
            </w:r>
          </w:p>
        </w:tc>
      </w:tr>
    </w:tbl>
    <w:p w:rsidR="0098416F" w:rsidRDefault="0098416F" w:rsidP="000A3217">
      <w:pPr>
        <w:jc w:val="both"/>
        <w:rPr>
          <w:rFonts w:ascii="Times New Roman" w:hAnsi="Times New Roman" w:cs="Times New Roman"/>
          <w:sz w:val="28"/>
        </w:rPr>
      </w:pPr>
    </w:p>
    <w:p w:rsidR="00CA54D5" w:rsidRDefault="00E734BA" w:rsidP="000A3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приведённых данных видно, что в России сопоставимое число граждан, занятых в государственном секторе с другими экономически развитыми государствами. Однако, имея ввиду обширную площадь нашего государства, </w:t>
      </w:r>
      <w:r w:rsidR="00925845">
        <w:rPr>
          <w:rFonts w:ascii="Times New Roman" w:hAnsi="Times New Roman" w:cs="Times New Roman"/>
          <w:sz w:val="28"/>
        </w:rPr>
        <w:t xml:space="preserve">необходимо констатировать невероятно низкую плотность чиновников, приходящихся на один квадратный километр территории. </w:t>
      </w:r>
      <w:r w:rsidR="00C0178C">
        <w:rPr>
          <w:rFonts w:ascii="Times New Roman" w:hAnsi="Times New Roman" w:cs="Times New Roman"/>
          <w:sz w:val="28"/>
        </w:rPr>
        <w:t xml:space="preserve">Возможно, что именно в численности чиновников на площадь </w:t>
      </w:r>
      <w:r w:rsidR="00C0178C">
        <w:rPr>
          <w:rFonts w:ascii="Times New Roman" w:hAnsi="Times New Roman" w:cs="Times New Roman"/>
          <w:sz w:val="28"/>
        </w:rPr>
        <w:lastRenderedPageBreak/>
        <w:t xml:space="preserve">страны нужно измерять их оптимальное количество, а не </w:t>
      </w:r>
      <w:r w:rsidR="00585D5E">
        <w:rPr>
          <w:rFonts w:ascii="Times New Roman" w:hAnsi="Times New Roman" w:cs="Times New Roman"/>
          <w:sz w:val="28"/>
        </w:rPr>
        <w:t>в соотношении с общим</w:t>
      </w:r>
      <w:r w:rsidR="00C0178C">
        <w:rPr>
          <w:rFonts w:ascii="Times New Roman" w:hAnsi="Times New Roman" w:cs="Times New Roman"/>
          <w:sz w:val="28"/>
        </w:rPr>
        <w:t xml:space="preserve"> число</w:t>
      </w:r>
      <w:r w:rsidR="00585D5E">
        <w:rPr>
          <w:rFonts w:ascii="Times New Roman" w:hAnsi="Times New Roman" w:cs="Times New Roman"/>
          <w:sz w:val="28"/>
        </w:rPr>
        <w:t>м</w:t>
      </w:r>
      <w:r w:rsidR="00C0178C">
        <w:rPr>
          <w:rFonts w:ascii="Times New Roman" w:hAnsi="Times New Roman" w:cs="Times New Roman"/>
          <w:sz w:val="28"/>
        </w:rPr>
        <w:t xml:space="preserve"> работающего населения.</w:t>
      </w:r>
      <w:r w:rsidR="003B4A02">
        <w:rPr>
          <w:rFonts w:ascii="Times New Roman" w:hAnsi="Times New Roman" w:cs="Times New Roman"/>
          <w:sz w:val="28"/>
        </w:rPr>
        <w:t xml:space="preserve"> </w:t>
      </w:r>
    </w:p>
    <w:p w:rsidR="00EE2D9F" w:rsidRDefault="00327E2E" w:rsidP="00327E2E">
      <w:pPr>
        <w:jc w:val="both"/>
        <w:rPr>
          <w:rFonts w:ascii="Times New Roman" w:hAnsi="Times New Roman" w:cs="Times New Roman"/>
          <w:sz w:val="28"/>
        </w:rPr>
      </w:pPr>
      <w:r w:rsidRPr="00327E2E">
        <w:rPr>
          <w:rFonts w:ascii="Times New Roman" w:hAnsi="Times New Roman" w:cs="Times New Roman"/>
          <w:sz w:val="28"/>
        </w:rPr>
        <w:t>Существует два основных де</w:t>
      </w:r>
      <w:r>
        <w:rPr>
          <w:rFonts w:ascii="Times New Roman" w:hAnsi="Times New Roman" w:cs="Times New Roman"/>
          <w:sz w:val="28"/>
        </w:rPr>
        <w:t xml:space="preserve">йствующих подхода к оптимизации </w:t>
      </w:r>
      <w:r w:rsidRPr="00327E2E">
        <w:rPr>
          <w:rFonts w:ascii="Times New Roman" w:hAnsi="Times New Roman" w:cs="Times New Roman"/>
          <w:sz w:val="28"/>
        </w:rPr>
        <w:t>штатной численности государс</w:t>
      </w:r>
      <w:r>
        <w:rPr>
          <w:rFonts w:ascii="Times New Roman" w:hAnsi="Times New Roman" w:cs="Times New Roman"/>
          <w:sz w:val="28"/>
        </w:rPr>
        <w:t xml:space="preserve">твенных служащих: директивный и </w:t>
      </w:r>
      <w:r w:rsidR="003D58B7">
        <w:rPr>
          <w:rFonts w:ascii="Times New Roman" w:hAnsi="Times New Roman" w:cs="Times New Roman"/>
          <w:sz w:val="28"/>
        </w:rPr>
        <w:t>функционально-</w:t>
      </w:r>
      <w:r w:rsidRPr="00327E2E">
        <w:rPr>
          <w:rFonts w:ascii="Times New Roman" w:hAnsi="Times New Roman" w:cs="Times New Roman"/>
          <w:sz w:val="28"/>
        </w:rPr>
        <w:t>нормативный</w:t>
      </w:r>
      <w:r w:rsidR="003D58B7">
        <w:rPr>
          <w:rFonts w:ascii="Times New Roman" w:hAnsi="Times New Roman" w:cs="Times New Roman"/>
          <w:sz w:val="28"/>
        </w:rPr>
        <w:t xml:space="preserve"> [7</w:t>
      </w:r>
      <w:r w:rsidR="003D58B7" w:rsidRPr="0077743D">
        <w:rPr>
          <w:rFonts w:ascii="Times New Roman" w:hAnsi="Times New Roman" w:cs="Times New Roman"/>
          <w:sz w:val="28"/>
        </w:rPr>
        <w:t>]</w:t>
      </w:r>
      <w:r w:rsidRPr="00327E2E">
        <w:rPr>
          <w:rFonts w:ascii="Times New Roman" w:hAnsi="Times New Roman" w:cs="Times New Roman"/>
          <w:sz w:val="28"/>
        </w:rPr>
        <w:t>.</w:t>
      </w:r>
    </w:p>
    <w:p w:rsidR="003D58B7" w:rsidRPr="00CA2B23" w:rsidRDefault="003D58B7" w:rsidP="00CA2B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A2B23">
        <w:rPr>
          <w:rFonts w:ascii="Times New Roman" w:hAnsi="Times New Roman" w:cs="Times New Roman"/>
          <w:sz w:val="28"/>
        </w:rPr>
        <w:t>Основной целью директивного подхода является снижение предельной численности на основе заданных конечных показателей.</w:t>
      </w:r>
    </w:p>
    <w:p w:rsidR="003D58B7" w:rsidRPr="00CA2B23" w:rsidRDefault="003D58B7" w:rsidP="00CA2B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A2B23">
        <w:rPr>
          <w:rFonts w:ascii="Times New Roman" w:hAnsi="Times New Roman" w:cs="Times New Roman"/>
          <w:sz w:val="28"/>
        </w:rPr>
        <w:t>Основной целью функционально-нормативного подхода является повышение эффективности деятельности органов государственной власти.</w:t>
      </w:r>
    </w:p>
    <w:p w:rsidR="003D58B7" w:rsidRDefault="00CA2B23" w:rsidP="003D58B7">
      <w:pPr>
        <w:jc w:val="both"/>
        <w:rPr>
          <w:rFonts w:ascii="Times New Roman" w:hAnsi="Times New Roman" w:cs="Times New Roman"/>
          <w:sz w:val="28"/>
        </w:rPr>
      </w:pPr>
      <w:r w:rsidRPr="00CA2B23">
        <w:rPr>
          <w:rFonts w:ascii="Times New Roman" w:hAnsi="Times New Roman" w:cs="Times New Roman"/>
          <w:sz w:val="28"/>
        </w:rPr>
        <w:t>В 2010 году</w:t>
      </w:r>
      <w:r>
        <w:rPr>
          <w:rFonts w:ascii="Times New Roman" w:hAnsi="Times New Roman" w:cs="Times New Roman"/>
          <w:sz w:val="28"/>
        </w:rPr>
        <w:t xml:space="preserve"> </w:t>
      </w:r>
      <w:r w:rsidR="006C22D8">
        <w:rPr>
          <w:rFonts w:ascii="Times New Roman" w:hAnsi="Times New Roman" w:cs="Times New Roman"/>
          <w:sz w:val="28"/>
        </w:rPr>
        <w:t xml:space="preserve">Д.А. Медведев (тогда Президент РФ) </w:t>
      </w:r>
      <w:r>
        <w:rPr>
          <w:rFonts w:ascii="Times New Roman" w:hAnsi="Times New Roman" w:cs="Times New Roman"/>
          <w:sz w:val="28"/>
        </w:rPr>
        <w:t>в б</w:t>
      </w:r>
      <w:r w:rsidRPr="00CA2B23">
        <w:rPr>
          <w:rFonts w:ascii="Times New Roman" w:hAnsi="Times New Roman" w:cs="Times New Roman"/>
          <w:sz w:val="28"/>
        </w:rPr>
        <w:t>юджетном послании</w:t>
      </w:r>
      <w:r>
        <w:rPr>
          <w:rFonts w:ascii="Times New Roman" w:hAnsi="Times New Roman" w:cs="Times New Roman"/>
          <w:sz w:val="28"/>
        </w:rPr>
        <w:t xml:space="preserve"> </w:t>
      </w:r>
      <w:r w:rsidR="006C22D8">
        <w:rPr>
          <w:rFonts w:ascii="Times New Roman" w:hAnsi="Times New Roman" w:cs="Times New Roman"/>
          <w:sz w:val="28"/>
        </w:rPr>
        <w:t xml:space="preserve">заявил </w:t>
      </w:r>
      <w:r w:rsidR="006C22D8" w:rsidRPr="006C22D8">
        <w:rPr>
          <w:rFonts w:ascii="Times New Roman" w:hAnsi="Times New Roman" w:cs="Times New Roman"/>
          <w:sz w:val="28"/>
        </w:rPr>
        <w:t>[</w:t>
      </w:r>
      <w:r w:rsidR="006C22D8">
        <w:rPr>
          <w:rFonts w:ascii="Times New Roman" w:hAnsi="Times New Roman" w:cs="Times New Roman"/>
          <w:sz w:val="28"/>
        </w:rPr>
        <w:t>8</w:t>
      </w:r>
      <w:r w:rsidR="006C22D8" w:rsidRPr="006C22D8">
        <w:rPr>
          <w:rFonts w:ascii="Times New Roman" w:hAnsi="Times New Roman" w:cs="Times New Roman"/>
          <w:sz w:val="28"/>
        </w:rPr>
        <w:t>]</w:t>
      </w:r>
      <w:r w:rsidR="006C22D8">
        <w:rPr>
          <w:rFonts w:ascii="Times New Roman" w:hAnsi="Times New Roman" w:cs="Times New Roman"/>
          <w:sz w:val="28"/>
        </w:rPr>
        <w:t>: «</w:t>
      </w:r>
      <w:r w:rsidR="006C22D8" w:rsidRPr="006C22D8">
        <w:rPr>
          <w:rFonts w:ascii="Times New Roman" w:hAnsi="Times New Roman" w:cs="Times New Roman"/>
          <w:sz w:val="28"/>
        </w:rPr>
        <w:t>оптимизация численности федер</w:t>
      </w:r>
      <w:r w:rsidR="006C22D8">
        <w:rPr>
          <w:rFonts w:ascii="Times New Roman" w:hAnsi="Times New Roman" w:cs="Times New Roman"/>
          <w:sz w:val="28"/>
        </w:rPr>
        <w:t>альных государственных служащих</w:t>
      </w:r>
      <w:r w:rsidR="006C22D8" w:rsidRPr="006C22D8">
        <w:rPr>
          <w:rFonts w:ascii="Times New Roman" w:hAnsi="Times New Roman" w:cs="Times New Roman"/>
          <w:sz w:val="28"/>
        </w:rPr>
        <w:t xml:space="preserve"> – это не просто механическое сокращение, хотя оно должно быть, но это прежде всего перераспределение полномочий между различными структурами, между различными уровнями различных структур и создание необходимых механизмов; и под них</w:t>
      </w:r>
      <w:r w:rsidR="003C61FF">
        <w:rPr>
          <w:rFonts w:ascii="Times New Roman" w:hAnsi="Times New Roman" w:cs="Times New Roman"/>
          <w:sz w:val="28"/>
        </w:rPr>
        <w:t xml:space="preserve"> и нужно определять численность</w:t>
      </w:r>
      <w:r w:rsidR="006C22D8">
        <w:rPr>
          <w:rFonts w:ascii="Times New Roman" w:hAnsi="Times New Roman" w:cs="Times New Roman"/>
          <w:sz w:val="28"/>
        </w:rPr>
        <w:t xml:space="preserve">». Это ни что иное, как функционально-нормативный подход, желание оптимизировать аппарат государственного управления в необходимом для повышения эффективности объёме. </w:t>
      </w:r>
    </w:p>
    <w:p w:rsidR="003C61FF" w:rsidRDefault="006C22D8" w:rsidP="003212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2015 году Д.А. Медведев (Председатель Правительства РФ) подписал </w:t>
      </w:r>
      <w:r w:rsidRPr="006C22D8">
        <w:rPr>
          <w:rFonts w:ascii="Times New Roman" w:hAnsi="Times New Roman" w:cs="Times New Roman"/>
          <w:sz w:val="28"/>
        </w:rPr>
        <w:t>постановление о сокращении числа госслужащих на 10%</w:t>
      </w:r>
      <w:r w:rsidR="00931985">
        <w:rPr>
          <w:rFonts w:ascii="Times New Roman" w:hAnsi="Times New Roman" w:cs="Times New Roman"/>
          <w:sz w:val="28"/>
        </w:rPr>
        <w:t xml:space="preserve"> </w:t>
      </w:r>
      <w:r w:rsidR="00931985" w:rsidRPr="00931985">
        <w:rPr>
          <w:rFonts w:ascii="Times New Roman" w:hAnsi="Times New Roman" w:cs="Times New Roman"/>
          <w:sz w:val="28"/>
        </w:rPr>
        <w:t>[</w:t>
      </w:r>
      <w:r w:rsidR="00931985">
        <w:rPr>
          <w:rFonts w:ascii="Times New Roman" w:hAnsi="Times New Roman" w:cs="Times New Roman"/>
          <w:sz w:val="28"/>
        </w:rPr>
        <w:t>9</w:t>
      </w:r>
      <w:r w:rsidR="00931985" w:rsidRPr="0093198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="00C567D4">
        <w:rPr>
          <w:rFonts w:ascii="Times New Roman" w:hAnsi="Times New Roman" w:cs="Times New Roman"/>
          <w:sz w:val="28"/>
        </w:rPr>
        <w:t xml:space="preserve">Ввиду сложной экономической ситуации Правительству РФ пришлось пойти на такой популярный у общественности шаг. </w:t>
      </w:r>
      <w:r>
        <w:rPr>
          <w:rFonts w:ascii="Times New Roman" w:hAnsi="Times New Roman" w:cs="Times New Roman"/>
          <w:sz w:val="28"/>
        </w:rPr>
        <w:t>Это ни что иное, как директивный</w:t>
      </w:r>
      <w:r w:rsidR="00931985">
        <w:rPr>
          <w:rFonts w:ascii="Times New Roman" w:hAnsi="Times New Roman" w:cs="Times New Roman"/>
          <w:sz w:val="28"/>
        </w:rPr>
        <w:t xml:space="preserve"> подход, то есть желание сократить определённое количество чиновников, не имея для этого функциональной необходимости. </w:t>
      </w:r>
      <w:r w:rsidR="00B13ADC">
        <w:rPr>
          <w:rFonts w:ascii="Times New Roman" w:hAnsi="Times New Roman" w:cs="Times New Roman"/>
          <w:sz w:val="28"/>
        </w:rPr>
        <w:t xml:space="preserve">Однако, если же обраться к официальной статистике, то в ней сказано, что в 2016 году должности государственной службы были укомплектованы на </w:t>
      </w:r>
      <w:r w:rsidR="00B13ADC" w:rsidRPr="00B13ADC">
        <w:rPr>
          <w:rFonts w:ascii="Times New Roman" w:hAnsi="Times New Roman" w:cs="Times New Roman"/>
          <w:sz w:val="28"/>
        </w:rPr>
        <w:t>85,6%</w:t>
      </w:r>
      <w:r w:rsidR="00B13ADC">
        <w:rPr>
          <w:rFonts w:ascii="Times New Roman" w:hAnsi="Times New Roman" w:cs="Times New Roman"/>
          <w:sz w:val="28"/>
        </w:rPr>
        <w:t xml:space="preserve"> </w:t>
      </w:r>
      <w:r w:rsidR="00B13ADC" w:rsidRPr="0066722C">
        <w:rPr>
          <w:rFonts w:ascii="Times New Roman" w:hAnsi="Times New Roman" w:cs="Times New Roman"/>
          <w:sz w:val="28"/>
        </w:rPr>
        <w:t>[2]</w:t>
      </w:r>
      <w:r w:rsidR="00B13ADC">
        <w:rPr>
          <w:rFonts w:ascii="Times New Roman" w:hAnsi="Times New Roman" w:cs="Times New Roman"/>
          <w:sz w:val="28"/>
        </w:rPr>
        <w:t xml:space="preserve">. </w:t>
      </w:r>
      <w:r w:rsidR="00A51E1E">
        <w:rPr>
          <w:rFonts w:ascii="Times New Roman" w:hAnsi="Times New Roman" w:cs="Times New Roman"/>
          <w:sz w:val="28"/>
        </w:rPr>
        <w:t>То есть нынешнего количества государственных служащих не хватает даже на определённую Правительством РФ численность.</w:t>
      </w:r>
      <w:r w:rsidR="003C61FF">
        <w:rPr>
          <w:rFonts w:ascii="Times New Roman" w:hAnsi="Times New Roman" w:cs="Times New Roman"/>
          <w:sz w:val="28"/>
        </w:rPr>
        <w:t xml:space="preserve"> </w:t>
      </w:r>
      <w:r w:rsidR="003212AB">
        <w:rPr>
          <w:rFonts w:ascii="Times New Roman" w:hAnsi="Times New Roman" w:cs="Times New Roman"/>
          <w:sz w:val="28"/>
        </w:rPr>
        <w:t>Резо</w:t>
      </w:r>
      <w:bookmarkStart w:id="0" w:name="_GoBack"/>
      <w:bookmarkEnd w:id="0"/>
      <w:r w:rsidR="003212AB">
        <w:rPr>
          <w:rFonts w:ascii="Times New Roman" w:hAnsi="Times New Roman" w:cs="Times New Roman"/>
          <w:sz w:val="28"/>
        </w:rPr>
        <w:t xml:space="preserve">нно будет утверждать, что эффективность государственного управления снижается тем сильнее, чем дальше территориально чиновник находится от непосредственного объекта своего регулирования. </w:t>
      </w:r>
    </w:p>
    <w:p w:rsidR="003212AB" w:rsidRDefault="003212AB" w:rsidP="003212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Обобщая все вышеизложенные данные, необходимо констатировать, что чиновников в Российской Федерации намного меньше требуемого количества. Западные системы подсчёта, которыми руководствуется современное российское научное сообщество и административная элите попросту не применимы к российским реалиям. Навязанные показатели, позволяющие соотнести нашу страну и ряд европейских держав, а также общественное недовольство и его культивация со стороны СМИ вынуждают принимать управленческие решения по сокращению числа государственных служащих. Эти сокращения зачастую приводят к снижению эффективности всего аппарата государственного управления.</w:t>
      </w:r>
    </w:p>
    <w:p w:rsidR="003212AB" w:rsidRPr="00CA2B23" w:rsidRDefault="003212AB" w:rsidP="003D58B7">
      <w:pPr>
        <w:jc w:val="both"/>
        <w:rPr>
          <w:rFonts w:ascii="Times New Roman" w:hAnsi="Times New Roman" w:cs="Times New Roman"/>
          <w:sz w:val="28"/>
        </w:rPr>
      </w:pPr>
    </w:p>
    <w:p w:rsidR="00BB6122" w:rsidRPr="004071D1" w:rsidRDefault="00BB6122" w:rsidP="00BB6122">
      <w:pPr>
        <w:pageBreakBefore/>
        <w:jc w:val="center"/>
        <w:rPr>
          <w:rFonts w:ascii="Times New Roman" w:hAnsi="Times New Roman" w:cs="Times New Roman"/>
          <w:b/>
          <w:sz w:val="28"/>
        </w:rPr>
      </w:pPr>
      <w:r w:rsidRPr="0051114D">
        <w:rPr>
          <w:rFonts w:ascii="Times New Roman" w:hAnsi="Times New Roman" w:cs="Times New Roman"/>
          <w:b/>
          <w:sz w:val="28"/>
        </w:rPr>
        <w:lastRenderedPageBreak/>
        <w:t>Ссылки</w:t>
      </w:r>
      <w:r w:rsidRPr="004071D1">
        <w:rPr>
          <w:rFonts w:ascii="Times New Roman" w:hAnsi="Times New Roman" w:cs="Times New Roman"/>
          <w:b/>
          <w:sz w:val="28"/>
        </w:rPr>
        <w:t xml:space="preserve"> </w:t>
      </w:r>
      <w:r w:rsidRPr="0051114D">
        <w:rPr>
          <w:rFonts w:ascii="Times New Roman" w:hAnsi="Times New Roman" w:cs="Times New Roman"/>
          <w:b/>
          <w:sz w:val="28"/>
        </w:rPr>
        <w:t>на</w:t>
      </w:r>
      <w:r w:rsidRPr="004071D1">
        <w:rPr>
          <w:rFonts w:ascii="Times New Roman" w:hAnsi="Times New Roman" w:cs="Times New Roman"/>
          <w:b/>
          <w:sz w:val="28"/>
        </w:rPr>
        <w:t xml:space="preserve"> </w:t>
      </w:r>
      <w:r w:rsidRPr="0051114D">
        <w:rPr>
          <w:rFonts w:ascii="Times New Roman" w:hAnsi="Times New Roman" w:cs="Times New Roman"/>
          <w:b/>
          <w:sz w:val="28"/>
        </w:rPr>
        <w:t>источники</w:t>
      </w:r>
    </w:p>
    <w:p w:rsidR="00BB6122" w:rsidRPr="00D1571A" w:rsidRDefault="00BB6122" w:rsidP="00D1571A">
      <w:pPr>
        <w:jc w:val="both"/>
        <w:rPr>
          <w:rFonts w:ascii="Times New Roman" w:hAnsi="Times New Roman" w:cs="Times New Roman"/>
          <w:sz w:val="28"/>
        </w:rPr>
      </w:pPr>
      <w:r w:rsidRPr="00D1571A">
        <w:rPr>
          <w:rFonts w:ascii="Times New Roman" w:hAnsi="Times New Roman" w:cs="Times New Roman"/>
          <w:sz w:val="28"/>
        </w:rPr>
        <w:t xml:space="preserve">[1] </w:t>
      </w:r>
      <w:r w:rsidR="00D1571A">
        <w:rPr>
          <w:rFonts w:ascii="Times New Roman" w:hAnsi="Times New Roman" w:cs="Times New Roman"/>
          <w:sz w:val="28"/>
        </w:rPr>
        <w:t>С</w:t>
      </w:r>
      <w:r w:rsidR="00D1571A" w:rsidRPr="00D1571A">
        <w:rPr>
          <w:rFonts w:ascii="Times New Roman" w:hAnsi="Times New Roman" w:cs="Times New Roman"/>
          <w:sz w:val="28"/>
        </w:rPr>
        <w:t>реднемесячная номинальная начисленн</w:t>
      </w:r>
      <w:r w:rsidR="00D1571A">
        <w:rPr>
          <w:rFonts w:ascii="Times New Roman" w:hAnsi="Times New Roman" w:cs="Times New Roman"/>
          <w:sz w:val="28"/>
        </w:rPr>
        <w:t xml:space="preserve">ая заработная плата работников </w:t>
      </w:r>
      <w:r w:rsidR="00D1571A" w:rsidRPr="00D1571A">
        <w:rPr>
          <w:rFonts w:ascii="Times New Roman" w:hAnsi="Times New Roman" w:cs="Times New Roman"/>
          <w:sz w:val="28"/>
        </w:rPr>
        <w:t>организаций по видам экономической деятельности в российской федерации</w:t>
      </w:r>
      <w:r w:rsidR="00D1571A">
        <w:rPr>
          <w:rFonts w:ascii="Times New Roman" w:hAnsi="Times New Roman" w:cs="Times New Roman"/>
          <w:sz w:val="28"/>
        </w:rPr>
        <w:t xml:space="preserve"> </w:t>
      </w:r>
      <w:r w:rsidR="00D1571A" w:rsidRPr="00D1571A">
        <w:rPr>
          <w:rFonts w:ascii="Times New Roman" w:hAnsi="Times New Roman" w:cs="Times New Roman"/>
          <w:sz w:val="28"/>
        </w:rPr>
        <w:t xml:space="preserve">(Таблица </w:t>
      </w:r>
      <w:r w:rsidR="00D1571A">
        <w:rPr>
          <w:rFonts w:ascii="Times New Roman" w:hAnsi="Times New Roman" w:cs="Times New Roman"/>
          <w:sz w:val="28"/>
          <w:lang w:val="en-US"/>
        </w:rPr>
        <w:t>Word</w:t>
      </w:r>
      <w:r w:rsidR="00D1571A" w:rsidRPr="00D1571A">
        <w:rPr>
          <w:rFonts w:ascii="Times New Roman" w:hAnsi="Times New Roman" w:cs="Times New Roman"/>
          <w:sz w:val="28"/>
        </w:rPr>
        <w:t xml:space="preserve">) </w:t>
      </w:r>
      <w:r w:rsidR="00D1571A">
        <w:rPr>
          <w:rFonts w:ascii="Times New Roman" w:hAnsi="Times New Roman" w:cs="Times New Roman"/>
          <w:sz w:val="28"/>
        </w:rPr>
        <w:t xml:space="preserve">/ Росстат 2016 </w:t>
      </w:r>
      <w:r w:rsidR="00355C62">
        <w:rPr>
          <w:rFonts w:ascii="Times New Roman" w:hAnsi="Times New Roman" w:cs="Times New Roman"/>
          <w:sz w:val="28"/>
        </w:rPr>
        <w:t>/</w:t>
      </w:r>
      <w:r w:rsidR="00D1571A">
        <w:rPr>
          <w:rFonts w:ascii="Times New Roman" w:hAnsi="Times New Roman" w:cs="Times New Roman"/>
          <w:sz w:val="28"/>
        </w:rPr>
        <w:t xml:space="preserve">/ </w:t>
      </w:r>
      <w:r w:rsidR="00D1571A">
        <w:rPr>
          <w:rFonts w:ascii="Times New Roman" w:hAnsi="Times New Roman" w:cs="Times New Roman"/>
          <w:sz w:val="28"/>
          <w:lang w:val="en-US"/>
        </w:rPr>
        <w:t>URL</w:t>
      </w:r>
      <w:r w:rsidR="00D1571A" w:rsidRPr="00D1571A">
        <w:rPr>
          <w:rFonts w:ascii="Times New Roman" w:hAnsi="Times New Roman" w:cs="Times New Roman"/>
          <w:sz w:val="28"/>
        </w:rPr>
        <w:t>: http://www.gks.ru/free_doc/new_site/population/trud/zrpl-v.doc</w:t>
      </w:r>
    </w:p>
    <w:p w:rsidR="00BB6122" w:rsidRPr="0066722C" w:rsidRDefault="00BB6122" w:rsidP="00C80022">
      <w:pPr>
        <w:rPr>
          <w:rFonts w:ascii="Times New Roman" w:hAnsi="Times New Roman" w:cs="Times New Roman"/>
          <w:sz w:val="28"/>
        </w:rPr>
      </w:pPr>
      <w:r w:rsidRPr="0066722C">
        <w:rPr>
          <w:rFonts w:ascii="Times New Roman" w:hAnsi="Times New Roman" w:cs="Times New Roman"/>
          <w:sz w:val="28"/>
        </w:rPr>
        <w:t xml:space="preserve">[2] </w:t>
      </w:r>
      <w:r w:rsidR="00C80022">
        <w:rPr>
          <w:rFonts w:ascii="Times New Roman" w:hAnsi="Times New Roman" w:cs="Times New Roman"/>
          <w:sz w:val="28"/>
        </w:rPr>
        <w:t xml:space="preserve">Справка </w:t>
      </w:r>
      <w:r w:rsidR="00C80022" w:rsidRPr="00C80022">
        <w:rPr>
          <w:rFonts w:ascii="Times New Roman" w:hAnsi="Times New Roman" w:cs="Times New Roman"/>
          <w:sz w:val="28"/>
        </w:rPr>
        <w:t>о численности и опл</w:t>
      </w:r>
      <w:r w:rsidR="00C80022">
        <w:rPr>
          <w:rFonts w:ascii="Times New Roman" w:hAnsi="Times New Roman" w:cs="Times New Roman"/>
          <w:sz w:val="28"/>
        </w:rPr>
        <w:t xml:space="preserve">ате труда гражданских служащих федеральных </w:t>
      </w:r>
      <w:r w:rsidR="00C80022" w:rsidRPr="00C80022">
        <w:rPr>
          <w:rFonts w:ascii="Times New Roman" w:hAnsi="Times New Roman" w:cs="Times New Roman"/>
          <w:sz w:val="28"/>
        </w:rPr>
        <w:t>государственных органов</w:t>
      </w:r>
      <w:r w:rsidR="00C80022" w:rsidRPr="00D1571A">
        <w:rPr>
          <w:rFonts w:ascii="Times New Roman" w:hAnsi="Times New Roman" w:cs="Times New Roman"/>
          <w:sz w:val="28"/>
        </w:rPr>
        <w:t xml:space="preserve">) </w:t>
      </w:r>
      <w:r w:rsidR="00C80022">
        <w:rPr>
          <w:rFonts w:ascii="Times New Roman" w:hAnsi="Times New Roman" w:cs="Times New Roman"/>
          <w:sz w:val="28"/>
        </w:rPr>
        <w:t xml:space="preserve">/ Росстат 2017 </w:t>
      </w:r>
      <w:r w:rsidR="00355C62">
        <w:rPr>
          <w:rFonts w:ascii="Times New Roman" w:hAnsi="Times New Roman" w:cs="Times New Roman"/>
          <w:sz w:val="28"/>
        </w:rPr>
        <w:t>/</w:t>
      </w:r>
      <w:r w:rsidR="00C80022">
        <w:rPr>
          <w:rFonts w:ascii="Times New Roman" w:hAnsi="Times New Roman" w:cs="Times New Roman"/>
          <w:sz w:val="28"/>
        </w:rPr>
        <w:t xml:space="preserve">/ </w:t>
      </w:r>
      <w:r w:rsidR="00C80022">
        <w:rPr>
          <w:rFonts w:ascii="Times New Roman" w:hAnsi="Times New Roman" w:cs="Times New Roman"/>
          <w:sz w:val="28"/>
          <w:lang w:val="en-US"/>
        </w:rPr>
        <w:t>URL</w:t>
      </w:r>
      <w:r w:rsidR="00C80022" w:rsidRPr="00D1571A">
        <w:rPr>
          <w:rFonts w:ascii="Times New Roman" w:hAnsi="Times New Roman" w:cs="Times New Roman"/>
          <w:sz w:val="28"/>
        </w:rPr>
        <w:t>:</w:t>
      </w:r>
      <w:r w:rsidR="00C80022">
        <w:rPr>
          <w:rFonts w:ascii="Times New Roman" w:hAnsi="Times New Roman" w:cs="Times New Roman"/>
          <w:sz w:val="28"/>
        </w:rPr>
        <w:t xml:space="preserve"> </w:t>
      </w:r>
      <w:r w:rsidR="00C80022" w:rsidRPr="00C80022">
        <w:rPr>
          <w:rFonts w:ascii="Times New Roman" w:hAnsi="Times New Roman" w:cs="Times New Roman"/>
          <w:sz w:val="28"/>
        </w:rPr>
        <w:t>http://www.gks.ru/bgd/free/b04_03/IssWWW.exe/Stg/d01/plat1.htm</w:t>
      </w:r>
    </w:p>
    <w:p w:rsidR="00355C62" w:rsidRDefault="00BB6122" w:rsidP="00BB6122">
      <w:pPr>
        <w:jc w:val="both"/>
        <w:rPr>
          <w:rFonts w:ascii="Times New Roman" w:hAnsi="Times New Roman" w:cs="Times New Roman"/>
          <w:sz w:val="28"/>
        </w:rPr>
      </w:pPr>
      <w:r w:rsidRPr="00CF6913">
        <w:rPr>
          <w:rFonts w:ascii="Times New Roman" w:hAnsi="Times New Roman" w:cs="Times New Roman"/>
          <w:sz w:val="28"/>
        </w:rPr>
        <w:t>[3</w:t>
      </w:r>
      <w:r w:rsidR="00DE19DD">
        <w:rPr>
          <w:rFonts w:ascii="Times New Roman" w:hAnsi="Times New Roman" w:cs="Times New Roman"/>
          <w:sz w:val="28"/>
        </w:rPr>
        <w:t xml:space="preserve"> </w:t>
      </w:r>
      <w:r w:rsidR="00DE19DD" w:rsidRPr="00DE19DD">
        <w:rPr>
          <w:rFonts w:ascii="Times New Roman" w:hAnsi="Times New Roman" w:cs="Times New Roman"/>
          <w:sz w:val="28"/>
        </w:rPr>
        <w:t>Среднегодовая заработная плата старших и младших специалистов центрального правительства, 2015 год</w:t>
      </w:r>
      <w:r w:rsidR="00DE19DD">
        <w:rPr>
          <w:rFonts w:ascii="Times New Roman" w:hAnsi="Times New Roman" w:cs="Times New Roman"/>
          <w:sz w:val="28"/>
        </w:rPr>
        <w:t xml:space="preserve"> (</w:t>
      </w:r>
      <w:r w:rsidR="00DE19DD" w:rsidRPr="00D1571A">
        <w:rPr>
          <w:rFonts w:ascii="Times New Roman" w:hAnsi="Times New Roman" w:cs="Times New Roman"/>
          <w:sz w:val="28"/>
        </w:rPr>
        <w:t>Таблица</w:t>
      </w:r>
      <w:r w:rsidR="00DE19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19DD">
        <w:rPr>
          <w:rFonts w:ascii="Times New Roman" w:hAnsi="Times New Roman" w:cs="Times New Roman"/>
          <w:sz w:val="28"/>
        </w:rPr>
        <w:t>Excel</w:t>
      </w:r>
      <w:proofErr w:type="spellEnd"/>
      <w:r w:rsidR="00DE19DD">
        <w:rPr>
          <w:rFonts w:ascii="Times New Roman" w:hAnsi="Times New Roman" w:cs="Times New Roman"/>
          <w:sz w:val="28"/>
        </w:rPr>
        <w:t xml:space="preserve">) / </w:t>
      </w:r>
      <w:r w:rsidR="00DE19DD" w:rsidRPr="00355C62">
        <w:rPr>
          <w:rFonts w:ascii="Times New Roman" w:hAnsi="Times New Roman" w:cs="Times New Roman"/>
          <w:sz w:val="28"/>
        </w:rPr>
        <w:t>Правительство с первого взгляда 2017</w:t>
      </w:r>
      <w:r w:rsidR="00DE19DD">
        <w:rPr>
          <w:rFonts w:ascii="Times New Roman" w:hAnsi="Times New Roman" w:cs="Times New Roman"/>
          <w:sz w:val="28"/>
        </w:rPr>
        <w:t xml:space="preserve"> / </w:t>
      </w:r>
      <w:r w:rsidR="00DE19DD" w:rsidRPr="00137FA3">
        <w:rPr>
          <w:rFonts w:ascii="Times New Roman" w:hAnsi="Times New Roman" w:cs="Times New Roman"/>
          <w:sz w:val="28"/>
        </w:rPr>
        <w:t>ОЭСР</w:t>
      </w:r>
      <w:r w:rsidR="00DE19DD">
        <w:rPr>
          <w:rFonts w:ascii="Times New Roman" w:hAnsi="Times New Roman" w:cs="Times New Roman"/>
          <w:sz w:val="28"/>
        </w:rPr>
        <w:t xml:space="preserve"> // URL</w:t>
      </w:r>
      <w:r w:rsidR="00DE19DD" w:rsidRPr="00D1571A">
        <w:rPr>
          <w:rFonts w:ascii="Times New Roman" w:hAnsi="Times New Roman" w:cs="Times New Roman"/>
          <w:sz w:val="28"/>
        </w:rPr>
        <w:t>:</w:t>
      </w:r>
      <w:r w:rsidR="00DE19DD">
        <w:rPr>
          <w:rFonts w:ascii="Times New Roman" w:hAnsi="Times New Roman" w:cs="Times New Roman"/>
          <w:sz w:val="28"/>
        </w:rPr>
        <w:t xml:space="preserve"> </w:t>
      </w:r>
      <w:r w:rsidR="00DE19DD" w:rsidRPr="00DE19DD">
        <w:rPr>
          <w:rFonts w:ascii="Times New Roman" w:hAnsi="Times New Roman" w:cs="Times New Roman"/>
          <w:sz w:val="28"/>
        </w:rPr>
        <w:t>http://www.oecd-ilibrary.org/average-annual-compensation-of-senior-and-junior-professionals-in-central-go</w:t>
      </w:r>
      <w:r w:rsidR="00DE19DD">
        <w:rPr>
          <w:rFonts w:ascii="Times New Roman" w:hAnsi="Times New Roman" w:cs="Times New Roman"/>
          <w:sz w:val="28"/>
        </w:rPr>
        <w:t>vernment-2015_5jfrmmrpq2xr.xlsx</w:t>
      </w:r>
    </w:p>
    <w:p w:rsidR="00BB6122" w:rsidRPr="00C72989" w:rsidRDefault="00BB6122" w:rsidP="00BB6122">
      <w:pPr>
        <w:jc w:val="both"/>
        <w:rPr>
          <w:rFonts w:ascii="Times New Roman" w:hAnsi="Times New Roman" w:cs="Times New Roman"/>
          <w:sz w:val="28"/>
        </w:rPr>
      </w:pPr>
      <w:r w:rsidRPr="00C72989">
        <w:rPr>
          <w:rFonts w:ascii="Times New Roman" w:hAnsi="Times New Roman" w:cs="Times New Roman"/>
          <w:sz w:val="28"/>
        </w:rPr>
        <w:t>[4]</w:t>
      </w:r>
      <w:r>
        <w:rPr>
          <w:rFonts w:ascii="Times New Roman" w:hAnsi="Times New Roman" w:cs="Times New Roman"/>
          <w:sz w:val="28"/>
        </w:rPr>
        <w:t xml:space="preserve"> </w:t>
      </w:r>
      <w:r w:rsidR="00DE19DD" w:rsidRPr="00355C62">
        <w:rPr>
          <w:rFonts w:ascii="Times New Roman" w:hAnsi="Times New Roman" w:cs="Times New Roman"/>
          <w:sz w:val="28"/>
        </w:rPr>
        <w:t>Занятость в органах государственного управления в процентах от общей занятости</w:t>
      </w:r>
      <w:r w:rsidR="00DE19DD">
        <w:rPr>
          <w:rFonts w:ascii="Times New Roman" w:hAnsi="Times New Roman" w:cs="Times New Roman"/>
          <w:sz w:val="28"/>
        </w:rPr>
        <w:t xml:space="preserve"> / </w:t>
      </w:r>
      <w:r w:rsidR="00DE19DD" w:rsidRPr="00355C62">
        <w:rPr>
          <w:rFonts w:ascii="Times New Roman" w:hAnsi="Times New Roman" w:cs="Times New Roman"/>
          <w:sz w:val="28"/>
        </w:rPr>
        <w:t>Правительство с первого взгляда 2017</w:t>
      </w:r>
      <w:r w:rsidR="00DE19DD">
        <w:rPr>
          <w:rFonts w:ascii="Times New Roman" w:hAnsi="Times New Roman" w:cs="Times New Roman"/>
          <w:sz w:val="28"/>
        </w:rPr>
        <w:t xml:space="preserve"> (</w:t>
      </w:r>
      <w:r w:rsidR="00DE19DD" w:rsidRPr="00D1571A">
        <w:rPr>
          <w:rFonts w:ascii="Times New Roman" w:hAnsi="Times New Roman" w:cs="Times New Roman"/>
          <w:sz w:val="28"/>
        </w:rPr>
        <w:t>Таблица</w:t>
      </w:r>
      <w:r w:rsidR="00DE19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19DD">
        <w:rPr>
          <w:rFonts w:ascii="Times New Roman" w:hAnsi="Times New Roman" w:cs="Times New Roman"/>
          <w:sz w:val="28"/>
        </w:rPr>
        <w:t>Excel</w:t>
      </w:r>
      <w:proofErr w:type="spellEnd"/>
      <w:r w:rsidR="00DE19DD">
        <w:rPr>
          <w:rFonts w:ascii="Times New Roman" w:hAnsi="Times New Roman" w:cs="Times New Roman"/>
          <w:sz w:val="28"/>
        </w:rPr>
        <w:t>)</w:t>
      </w:r>
      <w:r w:rsidR="00DE19DD" w:rsidRPr="00DE19DD">
        <w:rPr>
          <w:rFonts w:ascii="Times New Roman" w:hAnsi="Times New Roman" w:cs="Times New Roman"/>
          <w:sz w:val="28"/>
        </w:rPr>
        <w:t xml:space="preserve"> </w:t>
      </w:r>
      <w:r w:rsidR="00DE19DD">
        <w:rPr>
          <w:rFonts w:ascii="Times New Roman" w:hAnsi="Times New Roman" w:cs="Times New Roman"/>
          <w:sz w:val="28"/>
        </w:rPr>
        <w:t xml:space="preserve">/ </w:t>
      </w:r>
      <w:r w:rsidR="00DE19DD" w:rsidRPr="00137FA3">
        <w:rPr>
          <w:rFonts w:ascii="Times New Roman" w:hAnsi="Times New Roman" w:cs="Times New Roman"/>
          <w:sz w:val="28"/>
        </w:rPr>
        <w:t>ОЭСР</w:t>
      </w:r>
      <w:r w:rsidR="00DE19DD">
        <w:rPr>
          <w:rFonts w:ascii="Times New Roman" w:hAnsi="Times New Roman" w:cs="Times New Roman"/>
          <w:sz w:val="28"/>
        </w:rPr>
        <w:t xml:space="preserve"> // URL</w:t>
      </w:r>
      <w:r w:rsidR="00DE19DD" w:rsidRPr="00D1571A">
        <w:rPr>
          <w:rFonts w:ascii="Times New Roman" w:hAnsi="Times New Roman" w:cs="Times New Roman"/>
          <w:sz w:val="28"/>
        </w:rPr>
        <w:t>:</w:t>
      </w:r>
      <w:r w:rsidR="00DE19DD">
        <w:rPr>
          <w:rFonts w:ascii="Times New Roman" w:hAnsi="Times New Roman" w:cs="Times New Roman"/>
          <w:sz w:val="28"/>
        </w:rPr>
        <w:t xml:space="preserve"> </w:t>
      </w:r>
      <w:r w:rsidR="00DE19DD" w:rsidRPr="00355C62">
        <w:rPr>
          <w:rFonts w:ascii="Times New Roman" w:hAnsi="Times New Roman" w:cs="Times New Roman"/>
          <w:sz w:val="28"/>
        </w:rPr>
        <w:t>http://www.oecd-ilibrary.org/employment-in-general-government-as-a-percentage-of-total-employment-2007-2009-and-2015_5jfrmmrq71jc.xlsx</w:t>
      </w:r>
    </w:p>
    <w:p w:rsidR="00BB6122" w:rsidRPr="00DE19DD" w:rsidRDefault="00BB6122" w:rsidP="00BB6122">
      <w:pPr>
        <w:jc w:val="both"/>
        <w:rPr>
          <w:rFonts w:ascii="Times New Roman" w:hAnsi="Times New Roman" w:cs="Times New Roman"/>
          <w:sz w:val="28"/>
        </w:rPr>
      </w:pPr>
      <w:r w:rsidRPr="0077743D">
        <w:rPr>
          <w:rFonts w:ascii="Times New Roman" w:hAnsi="Times New Roman" w:cs="Times New Roman"/>
          <w:sz w:val="28"/>
        </w:rPr>
        <w:t>[5]</w:t>
      </w:r>
      <w:r>
        <w:rPr>
          <w:rFonts w:ascii="Times New Roman" w:hAnsi="Times New Roman" w:cs="Times New Roman"/>
          <w:sz w:val="28"/>
        </w:rPr>
        <w:t xml:space="preserve"> </w:t>
      </w:r>
      <w:r w:rsidR="00DE19DD" w:rsidRPr="00DE19DD">
        <w:rPr>
          <w:rFonts w:ascii="Times New Roman" w:hAnsi="Times New Roman" w:cs="Times New Roman"/>
          <w:sz w:val="28"/>
        </w:rPr>
        <w:t xml:space="preserve">Распределение занятого населения по видам экономической деятельности </w:t>
      </w:r>
      <w:r w:rsidR="00DE19DD">
        <w:rPr>
          <w:rFonts w:ascii="Times New Roman" w:hAnsi="Times New Roman" w:cs="Times New Roman"/>
          <w:sz w:val="28"/>
        </w:rPr>
        <w:t>(</w:t>
      </w:r>
      <w:r w:rsidR="00DE19DD" w:rsidRPr="00D1571A">
        <w:rPr>
          <w:rFonts w:ascii="Times New Roman" w:hAnsi="Times New Roman" w:cs="Times New Roman"/>
          <w:sz w:val="28"/>
        </w:rPr>
        <w:t>Таблица</w:t>
      </w:r>
      <w:r w:rsidR="00DE19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19DD">
        <w:rPr>
          <w:rFonts w:ascii="Times New Roman" w:hAnsi="Times New Roman" w:cs="Times New Roman"/>
          <w:sz w:val="28"/>
        </w:rPr>
        <w:t>Excel</w:t>
      </w:r>
      <w:proofErr w:type="spellEnd"/>
      <w:r w:rsidR="00DE19DD" w:rsidRPr="00D1571A">
        <w:rPr>
          <w:rFonts w:ascii="Times New Roman" w:hAnsi="Times New Roman" w:cs="Times New Roman"/>
          <w:sz w:val="28"/>
        </w:rPr>
        <w:t xml:space="preserve"> </w:t>
      </w:r>
      <w:r w:rsidR="00DE19DD">
        <w:rPr>
          <w:rFonts w:ascii="Times New Roman" w:hAnsi="Times New Roman" w:cs="Times New Roman"/>
          <w:sz w:val="28"/>
        </w:rPr>
        <w:t xml:space="preserve">/ Росстат 2017 // </w:t>
      </w:r>
      <w:r w:rsidR="00DE19DD">
        <w:rPr>
          <w:rFonts w:ascii="Times New Roman" w:hAnsi="Times New Roman" w:cs="Times New Roman"/>
          <w:sz w:val="28"/>
          <w:lang w:val="en-US"/>
        </w:rPr>
        <w:t>URL</w:t>
      </w:r>
      <w:r w:rsidR="00DE19DD" w:rsidRPr="00D1571A">
        <w:rPr>
          <w:rFonts w:ascii="Times New Roman" w:hAnsi="Times New Roman" w:cs="Times New Roman"/>
          <w:sz w:val="28"/>
        </w:rPr>
        <w:t>:</w:t>
      </w:r>
      <w:r w:rsidR="00DE19DD" w:rsidRPr="00DE19DD">
        <w:rPr>
          <w:rFonts w:ascii="Times New Roman" w:hAnsi="Times New Roman" w:cs="Times New Roman"/>
          <w:sz w:val="28"/>
        </w:rPr>
        <w:t xml:space="preserve"> http://www.gks.ru/free_doc/new_site/population/trud/trud10.xls</w:t>
      </w:r>
    </w:p>
    <w:p w:rsidR="00BB6122" w:rsidRPr="00A72AA8" w:rsidRDefault="00BB6122" w:rsidP="00BB61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[6</w:t>
      </w:r>
      <w:r w:rsidRPr="0077743D">
        <w:rPr>
          <w:rFonts w:ascii="Times New Roman" w:hAnsi="Times New Roman" w:cs="Times New Roman"/>
          <w:sz w:val="28"/>
        </w:rPr>
        <w:t>]</w:t>
      </w:r>
      <w:r w:rsidR="008175FB">
        <w:rPr>
          <w:rFonts w:ascii="Times New Roman" w:hAnsi="Times New Roman" w:cs="Times New Roman"/>
          <w:sz w:val="28"/>
        </w:rPr>
        <w:t xml:space="preserve"> </w:t>
      </w:r>
      <w:r w:rsidR="008175FB" w:rsidRPr="008175FB">
        <w:rPr>
          <w:rFonts w:ascii="Times New Roman" w:hAnsi="Times New Roman" w:cs="Times New Roman"/>
          <w:sz w:val="28"/>
        </w:rPr>
        <w:t>ВВП на душу населения</w:t>
      </w:r>
      <w:r w:rsidR="008175FB">
        <w:rPr>
          <w:rFonts w:ascii="Times New Roman" w:hAnsi="Times New Roman" w:cs="Times New Roman"/>
          <w:sz w:val="28"/>
        </w:rPr>
        <w:t xml:space="preserve"> (в долларах США, текущих ценах)</w:t>
      </w:r>
      <w:r>
        <w:rPr>
          <w:rFonts w:ascii="Times New Roman" w:hAnsi="Times New Roman" w:cs="Times New Roman"/>
          <w:sz w:val="28"/>
        </w:rPr>
        <w:t xml:space="preserve"> </w:t>
      </w:r>
      <w:r w:rsidR="008175FB">
        <w:rPr>
          <w:rFonts w:ascii="Times New Roman" w:hAnsi="Times New Roman" w:cs="Times New Roman"/>
          <w:sz w:val="28"/>
        </w:rPr>
        <w:t xml:space="preserve">/ Всемирный Банк // </w:t>
      </w:r>
      <w:r w:rsidR="003D58B7">
        <w:rPr>
          <w:rFonts w:ascii="Times New Roman" w:hAnsi="Times New Roman" w:cs="Times New Roman"/>
          <w:sz w:val="28"/>
          <w:lang w:val="en-US"/>
        </w:rPr>
        <w:t>URL</w:t>
      </w:r>
      <w:r w:rsidR="003D58B7" w:rsidRPr="00D1571A">
        <w:rPr>
          <w:rFonts w:ascii="Times New Roman" w:hAnsi="Times New Roman" w:cs="Times New Roman"/>
          <w:sz w:val="28"/>
        </w:rPr>
        <w:t>:</w:t>
      </w:r>
      <w:r w:rsidR="003D58B7" w:rsidRPr="00DE19DD">
        <w:rPr>
          <w:rFonts w:ascii="Times New Roman" w:hAnsi="Times New Roman" w:cs="Times New Roman"/>
          <w:sz w:val="28"/>
        </w:rPr>
        <w:t xml:space="preserve"> </w:t>
      </w:r>
      <w:r w:rsidR="008175FB" w:rsidRPr="008175FB">
        <w:rPr>
          <w:rFonts w:ascii="Times New Roman" w:hAnsi="Times New Roman" w:cs="Times New Roman"/>
          <w:sz w:val="28"/>
        </w:rPr>
        <w:t>https://data.worldbank.org/indicator/NY.GDP.PCAP.CD</w:t>
      </w:r>
    </w:p>
    <w:p w:rsidR="00BB6122" w:rsidRPr="00B77CC3" w:rsidRDefault="00BB6122" w:rsidP="003D5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[7</w:t>
      </w:r>
      <w:r w:rsidRPr="0077743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58B7">
        <w:rPr>
          <w:rFonts w:ascii="Times New Roman" w:hAnsi="Times New Roman" w:cs="Times New Roman"/>
          <w:sz w:val="28"/>
        </w:rPr>
        <w:t>Косников</w:t>
      </w:r>
      <w:proofErr w:type="spellEnd"/>
      <w:r w:rsidR="003D58B7">
        <w:rPr>
          <w:rFonts w:ascii="Times New Roman" w:hAnsi="Times New Roman" w:cs="Times New Roman"/>
          <w:sz w:val="28"/>
        </w:rPr>
        <w:t xml:space="preserve"> С.</w:t>
      </w:r>
      <w:r w:rsidR="003D58B7" w:rsidRPr="003D58B7">
        <w:rPr>
          <w:rFonts w:ascii="Times New Roman" w:hAnsi="Times New Roman" w:cs="Times New Roman"/>
          <w:sz w:val="28"/>
        </w:rPr>
        <w:t>Н</w:t>
      </w:r>
      <w:r w:rsidR="003D58B7">
        <w:rPr>
          <w:rFonts w:ascii="Times New Roman" w:hAnsi="Times New Roman" w:cs="Times New Roman"/>
          <w:sz w:val="28"/>
        </w:rPr>
        <w:t>. О</w:t>
      </w:r>
      <w:r w:rsidR="003D58B7" w:rsidRPr="003D58B7">
        <w:rPr>
          <w:rFonts w:ascii="Times New Roman" w:hAnsi="Times New Roman" w:cs="Times New Roman"/>
          <w:sz w:val="28"/>
        </w:rPr>
        <w:t>птимиза</w:t>
      </w:r>
      <w:r w:rsidR="003D58B7">
        <w:rPr>
          <w:rFonts w:ascii="Times New Roman" w:hAnsi="Times New Roman" w:cs="Times New Roman"/>
          <w:sz w:val="28"/>
        </w:rPr>
        <w:t xml:space="preserve">ция штатной численности </w:t>
      </w:r>
      <w:r w:rsidR="003D58B7" w:rsidRPr="003D58B7">
        <w:rPr>
          <w:rFonts w:ascii="Times New Roman" w:hAnsi="Times New Roman" w:cs="Times New Roman"/>
          <w:sz w:val="28"/>
        </w:rPr>
        <w:t>гос</w:t>
      </w:r>
      <w:r w:rsidR="003D58B7">
        <w:rPr>
          <w:rFonts w:ascii="Times New Roman" w:hAnsi="Times New Roman" w:cs="Times New Roman"/>
          <w:sz w:val="28"/>
        </w:rPr>
        <w:t xml:space="preserve">ударственных служащих с помощью </w:t>
      </w:r>
      <w:r w:rsidR="003D58B7" w:rsidRPr="003D58B7">
        <w:rPr>
          <w:rFonts w:ascii="Times New Roman" w:hAnsi="Times New Roman" w:cs="Times New Roman"/>
          <w:sz w:val="28"/>
        </w:rPr>
        <w:t>технологии аутсорсинг</w:t>
      </w:r>
      <w:r w:rsidR="003D58B7">
        <w:rPr>
          <w:rFonts w:ascii="Times New Roman" w:hAnsi="Times New Roman" w:cs="Times New Roman"/>
          <w:sz w:val="28"/>
        </w:rPr>
        <w:t xml:space="preserve"> (Документ </w:t>
      </w:r>
      <w:r w:rsidR="003D58B7">
        <w:rPr>
          <w:rFonts w:ascii="Times New Roman" w:hAnsi="Times New Roman" w:cs="Times New Roman"/>
          <w:sz w:val="28"/>
          <w:lang w:val="en-US"/>
        </w:rPr>
        <w:t>Adobe</w:t>
      </w:r>
      <w:r w:rsidR="003D58B7" w:rsidRPr="003D58B7">
        <w:rPr>
          <w:rFonts w:ascii="Times New Roman" w:hAnsi="Times New Roman" w:cs="Times New Roman"/>
          <w:sz w:val="28"/>
        </w:rPr>
        <w:t xml:space="preserve"> </w:t>
      </w:r>
      <w:r w:rsidR="003D58B7">
        <w:rPr>
          <w:rFonts w:ascii="Times New Roman" w:hAnsi="Times New Roman" w:cs="Times New Roman"/>
          <w:sz w:val="28"/>
          <w:lang w:val="en-US"/>
        </w:rPr>
        <w:t>Reader</w:t>
      </w:r>
      <w:r w:rsidR="003D58B7">
        <w:rPr>
          <w:rFonts w:ascii="Times New Roman" w:hAnsi="Times New Roman" w:cs="Times New Roman"/>
          <w:sz w:val="28"/>
        </w:rPr>
        <w:t xml:space="preserve">) // Экономика и социум. М.: </w:t>
      </w:r>
      <w:r w:rsidR="003D58B7" w:rsidRPr="003D58B7">
        <w:rPr>
          <w:rFonts w:ascii="Times New Roman" w:hAnsi="Times New Roman" w:cs="Times New Roman"/>
          <w:sz w:val="28"/>
        </w:rPr>
        <w:t>Изд</w:t>
      </w:r>
      <w:r w:rsidR="003D58B7">
        <w:rPr>
          <w:rFonts w:ascii="Times New Roman" w:hAnsi="Times New Roman" w:cs="Times New Roman"/>
          <w:sz w:val="28"/>
        </w:rPr>
        <w:t>-во</w:t>
      </w:r>
      <w:r w:rsidR="003D58B7" w:rsidRPr="003D58B7">
        <w:rPr>
          <w:rFonts w:ascii="Times New Roman" w:hAnsi="Times New Roman" w:cs="Times New Roman"/>
          <w:sz w:val="28"/>
        </w:rPr>
        <w:t xml:space="preserve"> "ИУСЭР"</w:t>
      </w:r>
      <w:r w:rsidR="003D58B7">
        <w:rPr>
          <w:rFonts w:ascii="Times New Roman" w:hAnsi="Times New Roman" w:cs="Times New Roman"/>
          <w:sz w:val="28"/>
        </w:rPr>
        <w:t>, 2016.</w:t>
      </w:r>
      <w:r w:rsidR="003D58B7" w:rsidRPr="003D58B7">
        <w:rPr>
          <w:rFonts w:ascii="Times New Roman" w:hAnsi="Times New Roman" w:cs="Times New Roman"/>
          <w:sz w:val="28"/>
        </w:rPr>
        <w:t xml:space="preserve"> </w:t>
      </w:r>
      <w:r w:rsidR="003D58B7" w:rsidRPr="00B77CC3">
        <w:rPr>
          <w:rFonts w:ascii="Times New Roman" w:hAnsi="Times New Roman" w:cs="Times New Roman"/>
          <w:sz w:val="28"/>
        </w:rPr>
        <w:t xml:space="preserve">№4 (23). </w:t>
      </w:r>
      <w:r w:rsidR="003D58B7">
        <w:rPr>
          <w:rFonts w:ascii="Times New Roman" w:hAnsi="Times New Roman" w:cs="Times New Roman"/>
          <w:sz w:val="28"/>
          <w:lang w:val="en-US"/>
        </w:rPr>
        <w:t>URL</w:t>
      </w:r>
      <w:r w:rsidR="003D58B7" w:rsidRPr="00B77CC3">
        <w:rPr>
          <w:rFonts w:ascii="Times New Roman" w:hAnsi="Times New Roman" w:cs="Times New Roman"/>
          <w:sz w:val="28"/>
        </w:rPr>
        <w:t xml:space="preserve">: </w:t>
      </w:r>
      <w:r w:rsidR="003D58B7" w:rsidRPr="003D58B7">
        <w:rPr>
          <w:rFonts w:ascii="Times New Roman" w:hAnsi="Times New Roman" w:cs="Times New Roman"/>
          <w:sz w:val="28"/>
          <w:lang w:val="en-US"/>
        </w:rPr>
        <w:t>http</w:t>
      </w:r>
      <w:proofErr w:type="gramStart"/>
      <w:r w:rsidR="003D58B7" w:rsidRPr="00B77CC3">
        <w:rPr>
          <w:rFonts w:ascii="Times New Roman" w:hAnsi="Times New Roman" w:cs="Times New Roman"/>
          <w:sz w:val="28"/>
        </w:rPr>
        <w:t>:/</w:t>
      </w:r>
      <w:proofErr w:type="gramEnd"/>
      <w:r w:rsidR="003D58B7" w:rsidRPr="00B77CC3">
        <w:rPr>
          <w:rFonts w:ascii="Times New Roman" w:hAnsi="Times New Roman" w:cs="Times New Roman"/>
          <w:sz w:val="28"/>
        </w:rPr>
        <w:t>/</w:t>
      </w:r>
      <w:r w:rsidR="003D58B7" w:rsidRPr="003D58B7">
        <w:rPr>
          <w:rFonts w:ascii="Times New Roman" w:hAnsi="Times New Roman" w:cs="Times New Roman"/>
          <w:sz w:val="28"/>
          <w:lang w:val="en-US"/>
        </w:rPr>
        <w:t>www</w:t>
      </w:r>
      <w:r w:rsidR="003D58B7" w:rsidRPr="00B77CC3">
        <w:rPr>
          <w:rFonts w:ascii="Times New Roman" w:hAnsi="Times New Roman" w:cs="Times New Roman"/>
          <w:sz w:val="28"/>
        </w:rPr>
        <w:t>.</w:t>
      </w:r>
      <w:proofErr w:type="spellStart"/>
      <w:r w:rsidR="003D58B7" w:rsidRPr="003D58B7">
        <w:rPr>
          <w:rFonts w:ascii="Times New Roman" w:hAnsi="Times New Roman" w:cs="Times New Roman"/>
          <w:sz w:val="28"/>
          <w:lang w:val="en-US"/>
        </w:rPr>
        <w:t>iupr</w:t>
      </w:r>
      <w:proofErr w:type="spellEnd"/>
      <w:r w:rsidR="003D58B7" w:rsidRPr="00B77CC3">
        <w:rPr>
          <w:rFonts w:ascii="Times New Roman" w:hAnsi="Times New Roman" w:cs="Times New Roman"/>
          <w:sz w:val="28"/>
        </w:rPr>
        <w:t>.</w:t>
      </w:r>
      <w:proofErr w:type="spellStart"/>
      <w:r w:rsidR="003D58B7" w:rsidRPr="003D58B7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D58B7" w:rsidRPr="00B77CC3">
        <w:rPr>
          <w:rFonts w:ascii="Times New Roman" w:hAnsi="Times New Roman" w:cs="Times New Roman"/>
          <w:sz w:val="28"/>
        </w:rPr>
        <w:t>/</w:t>
      </w:r>
      <w:r w:rsidR="003D58B7" w:rsidRPr="003D58B7">
        <w:rPr>
          <w:rFonts w:ascii="Times New Roman" w:hAnsi="Times New Roman" w:cs="Times New Roman"/>
          <w:sz w:val="28"/>
          <w:lang w:val="en-US"/>
        </w:rPr>
        <w:t>domains</w:t>
      </w:r>
      <w:r w:rsidR="003D58B7" w:rsidRPr="00B77CC3">
        <w:rPr>
          <w:rFonts w:ascii="Times New Roman" w:hAnsi="Times New Roman" w:cs="Times New Roman"/>
          <w:sz w:val="28"/>
        </w:rPr>
        <w:t>_</w:t>
      </w:r>
      <w:r w:rsidR="003D58B7" w:rsidRPr="003D58B7">
        <w:rPr>
          <w:rFonts w:ascii="Times New Roman" w:hAnsi="Times New Roman" w:cs="Times New Roman"/>
          <w:sz w:val="28"/>
          <w:lang w:val="en-US"/>
        </w:rPr>
        <w:t>data</w:t>
      </w:r>
      <w:r w:rsidR="003D58B7" w:rsidRPr="00B77CC3">
        <w:rPr>
          <w:rFonts w:ascii="Times New Roman" w:hAnsi="Times New Roman" w:cs="Times New Roman"/>
          <w:sz w:val="28"/>
        </w:rPr>
        <w:t>/</w:t>
      </w:r>
      <w:r w:rsidR="003D58B7" w:rsidRPr="003D58B7">
        <w:rPr>
          <w:rFonts w:ascii="Times New Roman" w:hAnsi="Times New Roman" w:cs="Times New Roman"/>
          <w:sz w:val="28"/>
          <w:lang w:val="en-US"/>
        </w:rPr>
        <w:t>files</w:t>
      </w:r>
      <w:r w:rsidR="003D58B7" w:rsidRPr="00B77CC3">
        <w:rPr>
          <w:rFonts w:ascii="Times New Roman" w:hAnsi="Times New Roman" w:cs="Times New Roman"/>
          <w:sz w:val="28"/>
        </w:rPr>
        <w:t>/</w:t>
      </w:r>
      <w:proofErr w:type="spellStart"/>
      <w:r w:rsidR="003D58B7" w:rsidRPr="003D58B7">
        <w:rPr>
          <w:rFonts w:ascii="Times New Roman" w:hAnsi="Times New Roman" w:cs="Times New Roman"/>
          <w:sz w:val="28"/>
          <w:lang w:val="en-US"/>
        </w:rPr>
        <w:t>zurnal</w:t>
      </w:r>
      <w:proofErr w:type="spellEnd"/>
      <w:r w:rsidR="003D58B7" w:rsidRPr="00B77CC3">
        <w:rPr>
          <w:rFonts w:ascii="Times New Roman" w:hAnsi="Times New Roman" w:cs="Times New Roman"/>
          <w:sz w:val="28"/>
        </w:rPr>
        <w:t>_23/</w:t>
      </w:r>
      <w:r w:rsidR="003D58B7" w:rsidRPr="003D58B7">
        <w:rPr>
          <w:rFonts w:ascii="Times New Roman" w:hAnsi="Times New Roman" w:cs="Times New Roman"/>
          <w:sz w:val="28"/>
          <w:lang w:val="en-US"/>
        </w:rPr>
        <w:t>KOSNIKOV</w:t>
      </w:r>
      <w:r w:rsidR="003D58B7" w:rsidRPr="00B77CC3">
        <w:rPr>
          <w:rFonts w:ascii="Times New Roman" w:hAnsi="Times New Roman" w:cs="Times New Roman"/>
          <w:sz w:val="28"/>
        </w:rPr>
        <w:t>%20</w:t>
      </w:r>
      <w:r w:rsidR="003D58B7" w:rsidRPr="003D58B7">
        <w:rPr>
          <w:rFonts w:ascii="Times New Roman" w:hAnsi="Times New Roman" w:cs="Times New Roman"/>
          <w:sz w:val="28"/>
          <w:lang w:val="en-US"/>
        </w:rPr>
        <w:t>S</w:t>
      </w:r>
      <w:r w:rsidR="003D58B7" w:rsidRPr="00B77CC3">
        <w:rPr>
          <w:rFonts w:ascii="Times New Roman" w:hAnsi="Times New Roman" w:cs="Times New Roman"/>
          <w:sz w:val="28"/>
        </w:rPr>
        <w:t>.</w:t>
      </w:r>
      <w:r w:rsidR="003D58B7" w:rsidRPr="003D58B7">
        <w:rPr>
          <w:rFonts w:ascii="Times New Roman" w:hAnsi="Times New Roman" w:cs="Times New Roman"/>
          <w:sz w:val="28"/>
          <w:lang w:val="en-US"/>
        </w:rPr>
        <w:t>N</w:t>
      </w:r>
      <w:r w:rsidR="003D58B7" w:rsidRPr="00B77CC3">
        <w:rPr>
          <w:rFonts w:ascii="Times New Roman" w:hAnsi="Times New Roman" w:cs="Times New Roman"/>
          <w:sz w:val="28"/>
        </w:rPr>
        <w:t>.(</w:t>
      </w:r>
      <w:r w:rsidR="003D58B7" w:rsidRPr="003D58B7">
        <w:rPr>
          <w:rFonts w:ascii="Times New Roman" w:hAnsi="Times New Roman" w:cs="Times New Roman"/>
          <w:sz w:val="28"/>
          <w:lang w:val="en-US"/>
        </w:rPr>
        <w:t>OP</w:t>
      </w:r>
      <w:r w:rsidR="003D58B7" w:rsidRPr="00B77CC3">
        <w:rPr>
          <w:rFonts w:ascii="Times New Roman" w:hAnsi="Times New Roman" w:cs="Times New Roman"/>
          <w:sz w:val="28"/>
        </w:rPr>
        <w:t>).</w:t>
      </w:r>
      <w:r w:rsidR="003D58B7" w:rsidRPr="003D58B7">
        <w:rPr>
          <w:rFonts w:ascii="Times New Roman" w:hAnsi="Times New Roman" w:cs="Times New Roman"/>
          <w:sz w:val="28"/>
          <w:lang w:val="en-US"/>
        </w:rPr>
        <w:t>pdf</w:t>
      </w:r>
    </w:p>
    <w:p w:rsidR="00BB6122" w:rsidRPr="006C22D8" w:rsidRDefault="00BB6122" w:rsidP="00BB6122">
      <w:pPr>
        <w:jc w:val="both"/>
        <w:rPr>
          <w:rFonts w:ascii="Times New Roman" w:hAnsi="Times New Roman" w:cs="Times New Roman"/>
          <w:sz w:val="28"/>
        </w:rPr>
      </w:pPr>
      <w:r w:rsidRPr="006C22D8">
        <w:rPr>
          <w:rFonts w:ascii="Times New Roman" w:hAnsi="Times New Roman" w:cs="Times New Roman"/>
          <w:sz w:val="28"/>
        </w:rPr>
        <w:t>[</w:t>
      </w:r>
      <w:r w:rsidR="006C22D8">
        <w:rPr>
          <w:rFonts w:ascii="Times New Roman" w:hAnsi="Times New Roman" w:cs="Times New Roman"/>
          <w:sz w:val="28"/>
        </w:rPr>
        <w:t>8</w:t>
      </w:r>
      <w:r w:rsidRPr="006C22D8">
        <w:rPr>
          <w:rFonts w:ascii="Times New Roman" w:hAnsi="Times New Roman" w:cs="Times New Roman"/>
          <w:sz w:val="28"/>
        </w:rPr>
        <w:t xml:space="preserve">] </w:t>
      </w:r>
      <w:r w:rsidR="006C22D8">
        <w:rPr>
          <w:rFonts w:ascii="Times New Roman" w:hAnsi="Times New Roman" w:cs="Times New Roman"/>
          <w:sz w:val="28"/>
        </w:rPr>
        <w:t>Новость «</w:t>
      </w:r>
      <w:r w:rsidR="006C22D8" w:rsidRPr="006C22D8">
        <w:rPr>
          <w:rFonts w:ascii="Times New Roman" w:hAnsi="Times New Roman" w:cs="Times New Roman"/>
          <w:sz w:val="28"/>
        </w:rPr>
        <w:t>Совещание по вопросам оптимизации численности государственных служащих</w:t>
      </w:r>
      <w:r w:rsidR="006C22D8">
        <w:rPr>
          <w:rFonts w:ascii="Times New Roman" w:hAnsi="Times New Roman" w:cs="Times New Roman"/>
          <w:sz w:val="28"/>
        </w:rPr>
        <w:t xml:space="preserve">» / Сайт Президента Российской Федерации // </w:t>
      </w:r>
      <w:r w:rsidR="006C22D8">
        <w:rPr>
          <w:rFonts w:ascii="Times New Roman" w:hAnsi="Times New Roman" w:cs="Times New Roman"/>
          <w:sz w:val="28"/>
          <w:lang w:val="en-US"/>
        </w:rPr>
        <w:t>URL</w:t>
      </w:r>
      <w:r w:rsidR="006C22D8" w:rsidRPr="006C22D8">
        <w:rPr>
          <w:rFonts w:ascii="Times New Roman" w:hAnsi="Times New Roman" w:cs="Times New Roman"/>
          <w:sz w:val="28"/>
        </w:rPr>
        <w:t>:</w:t>
      </w:r>
      <w:r w:rsidR="006C22D8" w:rsidRPr="006C22D8">
        <w:t xml:space="preserve"> </w:t>
      </w:r>
      <w:r w:rsidR="006C22D8" w:rsidRPr="006C22D8">
        <w:rPr>
          <w:rFonts w:ascii="Times New Roman" w:hAnsi="Times New Roman" w:cs="Times New Roman"/>
          <w:sz w:val="28"/>
        </w:rPr>
        <w:t>http://www.kremlin.ru/events/president/news/8954</w:t>
      </w:r>
    </w:p>
    <w:p w:rsidR="006C22D8" w:rsidRPr="00931985" w:rsidRDefault="006C22D8" w:rsidP="006C22D8">
      <w:pPr>
        <w:jc w:val="both"/>
        <w:rPr>
          <w:rFonts w:ascii="Times New Roman" w:hAnsi="Times New Roman" w:cs="Times New Roman"/>
          <w:sz w:val="28"/>
        </w:rPr>
      </w:pPr>
      <w:r w:rsidRPr="0093198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9</w:t>
      </w:r>
      <w:r w:rsidRPr="00931985">
        <w:rPr>
          <w:rFonts w:ascii="Times New Roman" w:hAnsi="Times New Roman" w:cs="Times New Roman"/>
          <w:sz w:val="28"/>
        </w:rPr>
        <w:t>]</w:t>
      </w:r>
      <w:r w:rsidR="00931985" w:rsidRPr="00931985">
        <w:rPr>
          <w:rFonts w:ascii="Times New Roman" w:hAnsi="Times New Roman" w:cs="Times New Roman"/>
          <w:sz w:val="28"/>
        </w:rPr>
        <w:t xml:space="preserve"> </w:t>
      </w:r>
      <w:r w:rsidR="00931985">
        <w:rPr>
          <w:rFonts w:ascii="Times New Roman" w:hAnsi="Times New Roman" w:cs="Times New Roman"/>
          <w:sz w:val="28"/>
        </w:rPr>
        <w:t>Новость</w:t>
      </w:r>
      <w:r w:rsidRPr="00931985">
        <w:rPr>
          <w:rFonts w:ascii="Times New Roman" w:hAnsi="Times New Roman" w:cs="Times New Roman"/>
          <w:sz w:val="28"/>
        </w:rPr>
        <w:t xml:space="preserve"> </w:t>
      </w:r>
      <w:r w:rsidR="00931985">
        <w:rPr>
          <w:rFonts w:ascii="Times New Roman" w:hAnsi="Times New Roman" w:cs="Times New Roman"/>
          <w:sz w:val="28"/>
        </w:rPr>
        <w:t>«</w:t>
      </w:r>
      <w:r w:rsidR="00931985" w:rsidRPr="00931985">
        <w:rPr>
          <w:rFonts w:ascii="Times New Roman" w:hAnsi="Times New Roman" w:cs="Times New Roman"/>
          <w:sz w:val="28"/>
        </w:rPr>
        <w:t>Медведев подписал постановление о сокращении числа госслужащих на 10%</w:t>
      </w:r>
      <w:r w:rsidR="00931985">
        <w:rPr>
          <w:rFonts w:ascii="Times New Roman" w:hAnsi="Times New Roman" w:cs="Times New Roman"/>
          <w:sz w:val="28"/>
        </w:rPr>
        <w:t xml:space="preserve">» / РИА Новости // </w:t>
      </w:r>
      <w:r w:rsidR="00931985">
        <w:rPr>
          <w:rFonts w:ascii="Times New Roman" w:hAnsi="Times New Roman" w:cs="Times New Roman"/>
          <w:sz w:val="28"/>
          <w:lang w:val="en-US"/>
        </w:rPr>
        <w:t>URL</w:t>
      </w:r>
      <w:r w:rsidR="00931985" w:rsidRPr="006C22D8">
        <w:rPr>
          <w:rFonts w:ascii="Times New Roman" w:hAnsi="Times New Roman" w:cs="Times New Roman"/>
          <w:sz w:val="28"/>
        </w:rPr>
        <w:t>:</w:t>
      </w:r>
      <w:r w:rsidR="00931985" w:rsidRPr="00931985">
        <w:t xml:space="preserve"> </w:t>
      </w:r>
      <w:r w:rsidR="00931985" w:rsidRPr="00931985">
        <w:rPr>
          <w:rFonts w:ascii="Times New Roman" w:hAnsi="Times New Roman" w:cs="Times New Roman"/>
          <w:sz w:val="28"/>
        </w:rPr>
        <w:t>https://ria.ru/society/20151221/1346157547.html</w:t>
      </w:r>
    </w:p>
    <w:p w:rsidR="001E334D" w:rsidRPr="00931985" w:rsidRDefault="001E334D">
      <w:pPr>
        <w:rPr>
          <w:rFonts w:ascii="Times New Roman" w:hAnsi="Times New Roman" w:cs="Times New Roman"/>
          <w:sz w:val="28"/>
          <w:szCs w:val="28"/>
        </w:rPr>
      </w:pPr>
    </w:p>
    <w:sectPr w:rsidR="001E334D" w:rsidRPr="00931985" w:rsidSect="00BF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868"/>
    <w:multiLevelType w:val="hybridMultilevel"/>
    <w:tmpl w:val="0CB4BBDA"/>
    <w:lvl w:ilvl="0" w:tplc="0898F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3BD"/>
    <w:multiLevelType w:val="hybridMultilevel"/>
    <w:tmpl w:val="C3E24B2A"/>
    <w:lvl w:ilvl="0" w:tplc="853A9C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035A"/>
    <w:multiLevelType w:val="hybridMultilevel"/>
    <w:tmpl w:val="967E0796"/>
    <w:lvl w:ilvl="0" w:tplc="0898F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66"/>
    <w:rsid w:val="00023466"/>
    <w:rsid w:val="00092E4D"/>
    <w:rsid w:val="00095AB8"/>
    <w:rsid w:val="000A3217"/>
    <w:rsid w:val="00137FA3"/>
    <w:rsid w:val="00143838"/>
    <w:rsid w:val="001525B3"/>
    <w:rsid w:val="001B6D94"/>
    <w:rsid w:val="001D0F27"/>
    <w:rsid w:val="001E334D"/>
    <w:rsid w:val="00231C94"/>
    <w:rsid w:val="002B3FE7"/>
    <w:rsid w:val="00313102"/>
    <w:rsid w:val="003212AB"/>
    <w:rsid w:val="003215A0"/>
    <w:rsid w:val="003275E3"/>
    <w:rsid w:val="00327E2E"/>
    <w:rsid w:val="003313CB"/>
    <w:rsid w:val="0035460E"/>
    <w:rsid w:val="00355C62"/>
    <w:rsid w:val="00364F1E"/>
    <w:rsid w:val="00377471"/>
    <w:rsid w:val="00381438"/>
    <w:rsid w:val="003826D3"/>
    <w:rsid w:val="003B4A02"/>
    <w:rsid w:val="003C61FF"/>
    <w:rsid w:val="003D58B7"/>
    <w:rsid w:val="004071D1"/>
    <w:rsid w:val="00431A88"/>
    <w:rsid w:val="004B499F"/>
    <w:rsid w:val="004D1F33"/>
    <w:rsid w:val="00534178"/>
    <w:rsid w:val="0056102A"/>
    <w:rsid w:val="00585D5E"/>
    <w:rsid w:val="005A34A6"/>
    <w:rsid w:val="005A5AF3"/>
    <w:rsid w:val="00627179"/>
    <w:rsid w:val="00665859"/>
    <w:rsid w:val="006C22D8"/>
    <w:rsid w:val="007707C8"/>
    <w:rsid w:val="00773731"/>
    <w:rsid w:val="007738CC"/>
    <w:rsid w:val="007A0194"/>
    <w:rsid w:val="007C3C7D"/>
    <w:rsid w:val="007F4653"/>
    <w:rsid w:val="008175FB"/>
    <w:rsid w:val="0084427D"/>
    <w:rsid w:val="00872F9B"/>
    <w:rsid w:val="00874267"/>
    <w:rsid w:val="00877071"/>
    <w:rsid w:val="00891140"/>
    <w:rsid w:val="00897CB1"/>
    <w:rsid w:val="008D4B9B"/>
    <w:rsid w:val="00900922"/>
    <w:rsid w:val="00900E20"/>
    <w:rsid w:val="00925845"/>
    <w:rsid w:val="00931985"/>
    <w:rsid w:val="0098416F"/>
    <w:rsid w:val="009C043B"/>
    <w:rsid w:val="009C41F2"/>
    <w:rsid w:val="009D417D"/>
    <w:rsid w:val="00A10555"/>
    <w:rsid w:val="00A2181F"/>
    <w:rsid w:val="00A4680E"/>
    <w:rsid w:val="00A51E1E"/>
    <w:rsid w:val="00A57035"/>
    <w:rsid w:val="00AD5639"/>
    <w:rsid w:val="00B053BC"/>
    <w:rsid w:val="00B13ADC"/>
    <w:rsid w:val="00B444CF"/>
    <w:rsid w:val="00B522F8"/>
    <w:rsid w:val="00B77CC3"/>
    <w:rsid w:val="00BB6122"/>
    <w:rsid w:val="00C0178C"/>
    <w:rsid w:val="00C43909"/>
    <w:rsid w:val="00C567D4"/>
    <w:rsid w:val="00C80022"/>
    <w:rsid w:val="00C93369"/>
    <w:rsid w:val="00CA2B23"/>
    <w:rsid w:val="00CA54D5"/>
    <w:rsid w:val="00CF4F93"/>
    <w:rsid w:val="00D01DB5"/>
    <w:rsid w:val="00D1571A"/>
    <w:rsid w:val="00D224F1"/>
    <w:rsid w:val="00D22DA3"/>
    <w:rsid w:val="00D368E0"/>
    <w:rsid w:val="00D51C1F"/>
    <w:rsid w:val="00D96E84"/>
    <w:rsid w:val="00DD4AD5"/>
    <w:rsid w:val="00DE19DD"/>
    <w:rsid w:val="00E3785C"/>
    <w:rsid w:val="00E53350"/>
    <w:rsid w:val="00E62A24"/>
    <w:rsid w:val="00E734BA"/>
    <w:rsid w:val="00E9378F"/>
    <w:rsid w:val="00EB1181"/>
    <w:rsid w:val="00ED1B05"/>
    <w:rsid w:val="00EE2D9F"/>
    <w:rsid w:val="00EF2ED0"/>
    <w:rsid w:val="00F70D11"/>
    <w:rsid w:val="00F74109"/>
    <w:rsid w:val="00F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08A1-EFB5-4269-9A6D-9F1B082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C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4F1E"/>
    <w:pPr>
      <w:ind w:left="720"/>
      <w:contextualSpacing/>
    </w:pPr>
  </w:style>
  <w:style w:type="table" w:styleId="-45">
    <w:name w:val="Grid Table 4 Accent 5"/>
    <w:basedOn w:val="a1"/>
    <w:uiPriority w:val="49"/>
    <w:rsid w:val="009C4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">
    <w:name w:val="Grid Table 1 Light"/>
    <w:basedOn w:val="a1"/>
    <w:uiPriority w:val="46"/>
    <w:rsid w:val="009C41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Зарплата чиновников стран</a:t>
            </a:r>
            <a:r>
              <a:rPr lang="ru-RU" sz="1400" baseline="0"/>
              <a:t> мира в 2015 г. (в рублях)</a:t>
            </a:r>
            <a:r>
              <a:rPr lang="ru-RU" sz="14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Значение</c:v>
                </c:pt>
              </c:strCache>
            </c:strRef>
          </c:tx>
          <c:spPr>
            <a:gradFill flip="none" rotWithShape="1">
              <a:gsLst>
                <a:gs pos="25000">
                  <a:srgbClr val="FFFF00"/>
                </a:gs>
                <a:gs pos="50000">
                  <a:srgbClr val="ACA800"/>
                </a:gs>
                <a:gs pos="77000">
                  <a:srgbClr val="FFFF00"/>
                </a:gs>
              </a:gsLst>
              <a:path path="circle">
                <a:fillToRect l="100000" t="100000"/>
              </a:path>
              <a:tileRect r="-100000" b="-100000"/>
            </a:gradFill>
            <a:ln w="57150">
              <a:solidFill>
                <a:srgbClr val="CCC7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Литва</c:v>
                </c:pt>
                <c:pt idx="1">
                  <c:v>Россия</c:v>
                </c:pt>
                <c:pt idx="2">
                  <c:v>Латвия</c:v>
                </c:pt>
                <c:pt idx="3">
                  <c:v>Мексика</c:v>
                </c:pt>
                <c:pt idx="4">
                  <c:v>Греция</c:v>
                </c:pt>
                <c:pt idx="5">
                  <c:v>Португалия</c:v>
                </c:pt>
                <c:pt idx="6">
                  <c:v>Эстония</c:v>
                </c:pt>
                <c:pt idx="7">
                  <c:v>Италия</c:v>
                </c:pt>
                <c:pt idx="8">
                  <c:v>Великобритания</c:v>
                </c:pt>
                <c:pt idx="9">
                  <c:v>Южная Корея</c:v>
                </c:pt>
                <c:pt idx="10">
                  <c:v>Словения</c:v>
                </c:pt>
                <c:pt idx="11">
                  <c:v>Швеция</c:v>
                </c:pt>
                <c:pt idx="12">
                  <c:v>Исланлия</c:v>
                </c:pt>
                <c:pt idx="13">
                  <c:v>Франция</c:v>
                </c:pt>
                <c:pt idx="14">
                  <c:v>Норвегия</c:v>
                </c:pt>
                <c:pt idx="15">
                  <c:v>Австралия</c:v>
                </c:pt>
                <c:pt idx="16">
                  <c:v>Финляндия</c:v>
                </c:pt>
                <c:pt idx="17">
                  <c:v>Чили</c:v>
                </c:pt>
                <c:pt idx="18">
                  <c:v>Испания</c:v>
                </c:pt>
                <c:pt idx="19">
                  <c:v>Дания</c:v>
                </c:pt>
                <c:pt idx="20">
                  <c:v>Канада</c:v>
                </c:pt>
                <c:pt idx="21">
                  <c:v>Нидерланды</c:v>
                </c:pt>
                <c:pt idx="22">
                  <c:v>Германия</c:v>
                </c:pt>
                <c:pt idx="23">
                  <c:v>Бельгия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 formatCode="0">
                  <c:v>112435.72267069678</c:v>
                </c:pt>
                <c:pt idx="1">
                  <c:v>115000</c:v>
                </c:pt>
                <c:pt idx="2" formatCode="0">
                  <c:v>134883.93530469152</c:v>
                </c:pt>
                <c:pt idx="3" formatCode="0">
                  <c:v>137905.88751325119</c:v>
                </c:pt>
                <c:pt idx="4" formatCode="0">
                  <c:v>146039.19017441251</c:v>
                </c:pt>
                <c:pt idx="5" formatCode="0">
                  <c:v>164600.29496789642</c:v>
                </c:pt>
                <c:pt idx="6" formatCode="0">
                  <c:v>174215.29701940081</c:v>
                </c:pt>
                <c:pt idx="7" formatCode="0">
                  <c:v>186578.17873550675</c:v>
                </c:pt>
                <c:pt idx="8" formatCode="0">
                  <c:v>202695.8525305987</c:v>
                </c:pt>
                <c:pt idx="9" formatCode="0">
                  <c:v>231316.32255249374</c:v>
                </c:pt>
                <c:pt idx="10" formatCode="0">
                  <c:v>244194.66630398916</c:v>
                </c:pt>
                <c:pt idx="11" formatCode="0">
                  <c:v>257339.84790371588</c:v>
                </c:pt>
                <c:pt idx="12" formatCode="0">
                  <c:v>258553.46044013792</c:v>
                </c:pt>
                <c:pt idx="13" formatCode="0">
                  <c:v>258885.92950833408</c:v>
                </c:pt>
                <c:pt idx="14" formatCode="0">
                  <c:v>298992.25328968873</c:v>
                </c:pt>
                <c:pt idx="15" formatCode="0">
                  <c:v>302906.21202103503</c:v>
                </c:pt>
                <c:pt idx="16" formatCode="0">
                  <c:v>306478.28828072222</c:v>
                </c:pt>
                <c:pt idx="17" formatCode="0">
                  <c:v>307041.59841861448</c:v>
                </c:pt>
                <c:pt idx="18" formatCode="0">
                  <c:v>336376.11271592719</c:v>
                </c:pt>
                <c:pt idx="19" formatCode="0">
                  <c:v>350152.34524634515</c:v>
                </c:pt>
                <c:pt idx="20" formatCode="0">
                  <c:v>358518.37238142104</c:v>
                </c:pt>
                <c:pt idx="21" formatCode="0">
                  <c:v>361400.71784731362</c:v>
                </c:pt>
                <c:pt idx="22" formatCode="0">
                  <c:v>401382.46324609767</c:v>
                </c:pt>
                <c:pt idx="23" formatCode="0">
                  <c:v>467023.16242122167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38471696"/>
        <c:axId val="538474440"/>
      </c:barChart>
      <c:catAx>
        <c:axId val="53847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alpha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1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74440"/>
        <c:crosses val="autoZero"/>
        <c:auto val="1"/>
        <c:lblAlgn val="ctr"/>
        <c:lblOffset val="100"/>
        <c:tickMarkSkip val="1"/>
        <c:noMultiLvlLbl val="0"/>
      </c:catAx>
      <c:valAx>
        <c:axId val="53847444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7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1639">
          <a:srgbClr val="0A1128"/>
        </a:gs>
        <a:gs pos="37000">
          <a:srgbClr val="1A3764"/>
        </a:gs>
        <a:gs pos="17000">
          <a:srgbClr val="152453"/>
        </a:gs>
        <a:gs pos="88000">
          <a:srgbClr val="2E7EA2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Соотношение чиновников к работающему населению в странах</a:t>
            </a:r>
            <a:r>
              <a:rPr lang="ru-RU" sz="1400" baseline="0"/>
              <a:t> мира в 2015 г. (в %)</a:t>
            </a:r>
            <a:r>
              <a:rPr lang="ru-RU" sz="14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Чиновники</c:v>
                </c:pt>
              </c:strCache>
            </c:strRef>
          </c:tx>
          <c:spPr>
            <a:gradFill flip="none" rotWithShape="1">
              <a:gsLst>
                <a:gs pos="25000">
                  <a:srgbClr val="FFFF00"/>
                </a:gs>
                <a:gs pos="50000">
                  <a:srgbClr val="ACA800"/>
                </a:gs>
                <a:gs pos="77000">
                  <a:srgbClr val="FFFF00"/>
                </a:gs>
              </a:gsLst>
              <a:path path="circle">
                <a:fillToRect l="100000" t="100000"/>
              </a:path>
              <a:tileRect r="-100000" b="-100000"/>
            </a:gradFill>
            <a:ln w="57150">
              <a:solidFill>
                <a:srgbClr val="CCC7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Норвегия</c:v>
                </c:pt>
                <c:pt idx="1">
                  <c:v>Дания</c:v>
                </c:pt>
                <c:pt idx="2">
                  <c:v>Швеция</c:v>
                </c:pt>
                <c:pt idx="3">
                  <c:v>Финляндия</c:v>
                </c:pt>
                <c:pt idx="4">
                  <c:v>Эстония</c:v>
                </c:pt>
                <c:pt idx="5">
                  <c:v>Франция</c:v>
                </c:pt>
                <c:pt idx="6">
                  <c:v>Латвия</c:v>
                </c:pt>
                <c:pt idx="7">
                  <c:v>Бельгия</c:v>
                </c:pt>
                <c:pt idx="8">
                  <c:v>Канада</c:v>
                </c:pt>
                <c:pt idx="9">
                  <c:v>Греция</c:v>
                </c:pt>
                <c:pt idx="10">
                  <c:v>Словения</c:v>
                </c:pt>
                <c:pt idx="11">
                  <c:v>Великобритания</c:v>
                </c:pt>
                <c:pt idx="12">
                  <c:v>Австралия</c:v>
                </c:pt>
                <c:pt idx="13">
                  <c:v>Испания</c:v>
                </c:pt>
                <c:pt idx="14">
                  <c:v>США</c:v>
                </c:pt>
                <c:pt idx="15">
                  <c:v>Италия</c:v>
                </c:pt>
                <c:pt idx="16">
                  <c:v>Германия</c:v>
                </c:pt>
                <c:pt idx="17">
                  <c:v>Швейцария</c:v>
                </c:pt>
                <c:pt idx="18">
                  <c:v>Южная Корея</c:v>
                </c:pt>
                <c:pt idx="19">
                  <c:v>Россия</c:v>
                </c:pt>
                <c:pt idx="20">
                  <c:v>Япония</c:v>
                </c:pt>
              </c:strCache>
            </c:strRef>
          </c:cat>
          <c:val>
            <c:numRef>
              <c:f>Лист1!$B$2:$B$22</c:f>
              <c:numCache>
                <c:formatCode>0.0</c:formatCode>
                <c:ptCount val="21"/>
                <c:pt idx="0">
                  <c:v>29.967308390846348</c:v>
                </c:pt>
                <c:pt idx="1">
                  <c:v>29.12689996465182</c:v>
                </c:pt>
                <c:pt idx="2">
                  <c:v>28.588061625465205</c:v>
                </c:pt>
                <c:pt idx="3">
                  <c:v>24.850934411140901</c:v>
                </c:pt>
                <c:pt idx="4">
                  <c:v>22.989243859367473</c:v>
                </c:pt>
                <c:pt idx="5">
                  <c:v>21.385750099916436</c:v>
                </c:pt>
                <c:pt idx="6">
                  <c:v>20.074713265039506</c:v>
                </c:pt>
                <c:pt idx="7">
                  <c:v>18.447361557854471</c:v>
                </c:pt>
                <c:pt idx="8">
                  <c:v>18.185101024839099</c:v>
                </c:pt>
                <c:pt idx="9">
                  <c:v>17.984172220884389</c:v>
                </c:pt>
                <c:pt idx="10">
                  <c:v>17.384099206347759</c:v>
                </c:pt>
                <c:pt idx="11">
                  <c:v>16.422150569933947</c:v>
                </c:pt>
                <c:pt idx="12">
                  <c:v>15.93912415223623</c:v>
                </c:pt>
                <c:pt idx="13">
                  <c:v>15.71951023982105</c:v>
                </c:pt>
                <c:pt idx="14">
                  <c:v>15.255474946078795</c:v>
                </c:pt>
                <c:pt idx="15">
                  <c:v>13.621671917595785</c:v>
                </c:pt>
                <c:pt idx="16">
                  <c:v>10.565064913951273</c:v>
                </c:pt>
                <c:pt idx="17">
                  <c:v>9.9298231702481967</c:v>
                </c:pt>
                <c:pt idx="18">
                  <c:v>7.6052893067339298</c:v>
                </c:pt>
                <c:pt idx="19" formatCode="General">
                  <c:v>7.4</c:v>
                </c:pt>
                <c:pt idx="20">
                  <c:v>5.9442303332577646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38477184"/>
        <c:axId val="538475224"/>
      </c:barChart>
      <c:catAx>
        <c:axId val="53847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1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75224"/>
        <c:crosses val="autoZero"/>
        <c:auto val="1"/>
        <c:lblAlgn val="ctr"/>
        <c:lblOffset val="100"/>
        <c:noMultiLvlLbl val="0"/>
      </c:catAx>
      <c:valAx>
        <c:axId val="538475224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7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1639">
          <a:srgbClr val="0A1128"/>
        </a:gs>
        <a:gs pos="37000">
          <a:srgbClr val="1A3764"/>
        </a:gs>
        <a:gs pos="17000">
          <a:srgbClr val="152453"/>
        </a:gs>
        <a:gs pos="88000">
          <a:srgbClr val="2E7EA2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Соотношение чиновников к работающему населению в странах</a:t>
            </a:r>
            <a:r>
              <a:rPr lang="ru-RU" sz="1400" baseline="0"/>
              <a:t> мира (в %) и ВВП на душу населения в той же стране</a:t>
            </a:r>
            <a:r>
              <a:rPr lang="ru-RU" sz="1400"/>
              <a:t> (в тыс. долл.) </a:t>
            </a:r>
            <a:r>
              <a:rPr lang="ru-RU" sz="1500" b="1" i="0" u="none" strike="noStrike" cap="all" normalizeH="0" baseline="0">
                <a:effectLst/>
              </a:rPr>
              <a:t>в 2015 г</a:t>
            </a:r>
            <a:endParaRPr lang="ru-RU" sz="1400"/>
          </a:p>
        </c:rich>
      </c:tx>
      <c:layout>
        <c:manualLayout>
          <c:xMode val="edge"/>
          <c:yMode val="edge"/>
          <c:x val="0.13041750490151083"/>
          <c:y val="2.14477211796246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чиновников от работающего населения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 w="57150">
              <a:solidFill>
                <a:srgbClr val="CCC7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Япония</c:v>
                </c:pt>
                <c:pt idx="1">
                  <c:v>Южная Корея</c:v>
                </c:pt>
                <c:pt idx="2">
                  <c:v>Эстония</c:v>
                </c:pt>
                <c:pt idx="3">
                  <c:v>Швеция</c:v>
                </c:pt>
                <c:pt idx="4">
                  <c:v>Швейцария</c:v>
                </c:pt>
                <c:pt idx="5">
                  <c:v>Франция</c:v>
                </c:pt>
                <c:pt idx="6">
                  <c:v>Финляндия</c:v>
                </c:pt>
                <c:pt idx="7">
                  <c:v>США</c:v>
                </c:pt>
                <c:pt idx="8">
                  <c:v>Словения</c:v>
                </c:pt>
                <c:pt idx="9">
                  <c:v>Россия</c:v>
                </c:pt>
                <c:pt idx="10">
                  <c:v>Норвегия</c:v>
                </c:pt>
                <c:pt idx="11">
                  <c:v>Латвия</c:v>
                </c:pt>
                <c:pt idx="12">
                  <c:v>Канада</c:v>
                </c:pt>
                <c:pt idx="13">
                  <c:v>Италия</c:v>
                </c:pt>
                <c:pt idx="14">
                  <c:v>Испания</c:v>
                </c:pt>
                <c:pt idx="15">
                  <c:v>Дания</c:v>
                </c:pt>
                <c:pt idx="16">
                  <c:v>Греция</c:v>
                </c:pt>
                <c:pt idx="17">
                  <c:v>Германия</c:v>
                </c:pt>
                <c:pt idx="18">
                  <c:v>Великобритания</c:v>
                </c:pt>
                <c:pt idx="19">
                  <c:v>Бельгия</c:v>
                </c:pt>
                <c:pt idx="20">
                  <c:v>Австралия</c:v>
                </c:pt>
              </c:strCache>
            </c:strRef>
          </c:cat>
          <c:val>
            <c:numRef>
              <c:f>Лист1!$B$2:$B$22</c:f>
              <c:numCache>
                <c:formatCode>0.0</c:formatCode>
                <c:ptCount val="21"/>
                <c:pt idx="0">
                  <c:v>5.9442303332577646</c:v>
                </c:pt>
                <c:pt idx="1">
                  <c:v>7.6052893067339298</c:v>
                </c:pt>
                <c:pt idx="2">
                  <c:v>22.989243859367473</c:v>
                </c:pt>
                <c:pt idx="3">
                  <c:v>28.588061625465205</c:v>
                </c:pt>
                <c:pt idx="4">
                  <c:v>9.9298231702481967</c:v>
                </c:pt>
                <c:pt idx="5">
                  <c:v>21.385750099916436</c:v>
                </c:pt>
                <c:pt idx="6">
                  <c:v>24.850934411140901</c:v>
                </c:pt>
                <c:pt idx="7">
                  <c:v>15.255474946078795</c:v>
                </c:pt>
                <c:pt idx="8">
                  <c:v>17.384099206347759</c:v>
                </c:pt>
                <c:pt idx="9" formatCode="General">
                  <c:v>7.4</c:v>
                </c:pt>
                <c:pt idx="10">
                  <c:v>29.967308390846348</c:v>
                </c:pt>
                <c:pt idx="11">
                  <c:v>20.074713265039506</c:v>
                </c:pt>
                <c:pt idx="12">
                  <c:v>18.185101024839099</c:v>
                </c:pt>
                <c:pt idx="13">
                  <c:v>13.621671917595785</c:v>
                </c:pt>
                <c:pt idx="14">
                  <c:v>15.71951023982105</c:v>
                </c:pt>
                <c:pt idx="15">
                  <c:v>29.12689996465182</c:v>
                </c:pt>
                <c:pt idx="16">
                  <c:v>17.984172220884389</c:v>
                </c:pt>
                <c:pt idx="17">
                  <c:v>10.565064913951273</c:v>
                </c:pt>
                <c:pt idx="18">
                  <c:v>16.422150569933947</c:v>
                </c:pt>
                <c:pt idx="19">
                  <c:v>18.447361557854471</c:v>
                </c:pt>
                <c:pt idx="20">
                  <c:v>15.93912415223623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ВВП на душу населения</c:v>
                </c:pt>
              </c:strCache>
            </c:strRef>
          </c:tx>
          <c:spPr>
            <a:pattFill prst="ltUpDiag">
              <a:fgClr>
                <a:schemeClr val="accent2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Япония</c:v>
                </c:pt>
                <c:pt idx="1">
                  <c:v>Южная Корея</c:v>
                </c:pt>
                <c:pt idx="2">
                  <c:v>Эстония</c:v>
                </c:pt>
                <c:pt idx="3">
                  <c:v>Швеция</c:v>
                </c:pt>
                <c:pt idx="4">
                  <c:v>Швейцария</c:v>
                </c:pt>
                <c:pt idx="5">
                  <c:v>Франция</c:v>
                </c:pt>
                <c:pt idx="6">
                  <c:v>Финляндия</c:v>
                </c:pt>
                <c:pt idx="7">
                  <c:v>США</c:v>
                </c:pt>
                <c:pt idx="8">
                  <c:v>Словения</c:v>
                </c:pt>
                <c:pt idx="9">
                  <c:v>Россия</c:v>
                </c:pt>
                <c:pt idx="10">
                  <c:v>Норвегия</c:v>
                </c:pt>
                <c:pt idx="11">
                  <c:v>Латвия</c:v>
                </c:pt>
                <c:pt idx="12">
                  <c:v>Канада</c:v>
                </c:pt>
                <c:pt idx="13">
                  <c:v>Италия</c:v>
                </c:pt>
                <c:pt idx="14">
                  <c:v>Испания</c:v>
                </c:pt>
                <c:pt idx="15">
                  <c:v>Дания</c:v>
                </c:pt>
                <c:pt idx="16">
                  <c:v>Греция</c:v>
                </c:pt>
                <c:pt idx="17">
                  <c:v>Германия</c:v>
                </c:pt>
                <c:pt idx="18">
                  <c:v>Великобритания</c:v>
                </c:pt>
                <c:pt idx="19">
                  <c:v>Бельгия</c:v>
                </c:pt>
                <c:pt idx="20">
                  <c:v>Австралия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32.476999999999997</c:v>
                </c:pt>
                <c:pt idx="1">
                  <c:v>27.222000000000001</c:v>
                </c:pt>
                <c:pt idx="2">
                  <c:v>17.321000000000002</c:v>
                </c:pt>
                <c:pt idx="3">
                  <c:v>50.267000000000003</c:v>
                </c:pt>
                <c:pt idx="4">
                  <c:v>80.186000000000007</c:v>
                </c:pt>
                <c:pt idx="5">
                  <c:v>36.247999999999998</c:v>
                </c:pt>
                <c:pt idx="6">
                  <c:v>41.936</c:v>
                </c:pt>
                <c:pt idx="7">
                  <c:v>55.837000000000003</c:v>
                </c:pt>
                <c:pt idx="8">
                  <c:v>20.713000000000001</c:v>
                </c:pt>
                <c:pt idx="9">
                  <c:v>8.4469999999999992</c:v>
                </c:pt>
                <c:pt idx="10">
                  <c:v>74.676000000000002</c:v>
                </c:pt>
                <c:pt idx="11">
                  <c:v>13.654</c:v>
                </c:pt>
                <c:pt idx="12">
                  <c:v>43.250999999999998</c:v>
                </c:pt>
                <c:pt idx="13">
                  <c:v>29.847999999999999</c:v>
                </c:pt>
                <c:pt idx="14">
                  <c:v>25.832000000000001</c:v>
                </c:pt>
                <c:pt idx="15">
                  <c:v>51.965000000000003</c:v>
                </c:pt>
                <c:pt idx="16">
                  <c:v>18.042000000000002</c:v>
                </c:pt>
                <c:pt idx="17">
                  <c:v>41.220999999999997</c:v>
                </c:pt>
                <c:pt idx="18">
                  <c:v>43.732999999999997</c:v>
                </c:pt>
                <c:pt idx="19">
                  <c:v>40.216000000000001</c:v>
                </c:pt>
                <c:pt idx="20">
                  <c:v>56.33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8470520"/>
        <c:axId val="538474048"/>
      </c:barChart>
      <c:catAx>
        <c:axId val="538470520"/>
        <c:scaling>
          <c:orientation val="minMax"/>
        </c:scaling>
        <c:delete val="0"/>
        <c:axPos val="l"/>
        <c:minorGridlines>
          <c:spPr>
            <a:ln>
              <a:solidFill>
                <a:schemeClr val="lt1">
                  <a:alpha val="10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alpha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1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74048"/>
        <c:crosses val="autoZero"/>
        <c:auto val="1"/>
        <c:lblAlgn val="ctr"/>
        <c:lblOffset val="100"/>
        <c:noMultiLvlLbl val="0"/>
      </c:catAx>
      <c:valAx>
        <c:axId val="538474048"/>
        <c:scaling>
          <c:orientation val="minMax"/>
        </c:scaling>
        <c:delete val="0"/>
        <c:axPos val="b"/>
        <c:minorGridlines>
          <c:spPr>
            <a:ln>
              <a:solidFill>
                <a:schemeClr val="lt1">
                  <a:alpha val="10000"/>
                </a:schemeClr>
              </a:solidFill>
            </a:ln>
            <a:effectLst/>
          </c:spPr>
        </c:min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70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0146782005774978"/>
          <c:y val="9.3085937499999993E-2"/>
          <c:w val="0.59853217994225016"/>
          <c:h val="2.98424171587926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1639">
          <a:srgbClr val="0A1128"/>
        </a:gs>
        <a:gs pos="37000">
          <a:srgbClr val="1A3764"/>
        </a:gs>
        <a:gs pos="17000">
          <a:srgbClr val="152453"/>
        </a:gs>
        <a:gs pos="88000">
          <a:srgbClr val="2E7EA2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500" b="1" i="0" u="none" strike="noStrike" kern="1200" cap="all" spc="100" normalizeH="0" baseline="0">
                <a:ln>
                  <a:gradFill>
                    <a:gsLst>
                      <a:gs pos="0">
                        <a:srgbClr val="5B9BD5">
                          <a:lumMod val="5000"/>
                          <a:lumOff val="95000"/>
                        </a:srgbClr>
                      </a:gs>
                      <a:gs pos="74000">
                        <a:srgbClr val="5B9BD5">
                          <a:lumMod val="45000"/>
                          <a:lumOff val="55000"/>
                        </a:srgbClr>
                      </a:gs>
                      <a:gs pos="83000">
                        <a:srgbClr val="5B9BD5">
                          <a:lumMod val="45000"/>
                          <a:lumOff val="55000"/>
                        </a:srgbClr>
                      </a:gs>
                      <a:gs pos="100000">
                        <a:srgbClr val="5B9BD5">
                          <a:lumMod val="30000"/>
                          <a:lumOff val="70000"/>
                        </a:srgbClr>
                      </a:gs>
                    </a:gsLst>
                  </a:gradFill>
                </a:ln>
                <a:solidFill>
                  <a:sysClr val="window" lastClr="FFFFFF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cap="all" baseline="0">
                <a:effectLst/>
              </a:rPr>
              <a:t>Соотношение ВВП России к числу чиновников</a:t>
            </a:r>
            <a:endParaRPr lang="ru-RU" sz="1200"/>
          </a:p>
        </c:rich>
      </c:tx>
      <c:layout>
        <c:manualLayout>
          <c:xMode val="edge"/>
          <c:yMode val="edge"/>
          <c:x val="0.11870428579381906"/>
          <c:y val="3.1745938299768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500" b="1" i="0" u="none" strike="noStrike" kern="1200" cap="all" spc="100" normalizeH="0" baseline="0">
              <a:ln>
                <a:gradFill>
                  <a:gsLst>
                    <a:gs pos="0">
                      <a:srgbClr val="5B9BD5">
                        <a:lumMod val="5000"/>
                        <a:lumOff val="95000"/>
                      </a:srgbClr>
                    </a:gs>
                    <a:gs pos="74000">
                      <a:srgbClr val="5B9BD5">
                        <a:lumMod val="45000"/>
                        <a:lumOff val="55000"/>
                      </a:srgbClr>
                    </a:gs>
                    <a:gs pos="83000">
                      <a:srgbClr val="5B9BD5">
                        <a:lumMod val="45000"/>
                        <a:lumOff val="55000"/>
                      </a:srgbClr>
                    </a:gs>
                    <a:gs pos="100000">
                      <a:srgbClr val="5B9BD5">
                        <a:lumMod val="30000"/>
                        <a:lumOff val="70000"/>
                      </a:srgbClr>
                    </a:gs>
                  </a:gsLst>
                </a:gradFill>
              </a:ln>
              <a:solidFill>
                <a:sysClr val="window" lastClr="FFFFFF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чиновников</c:v>
                </c:pt>
              </c:strCache>
            </c:strRef>
          </c:tx>
          <c:spPr>
            <a:ln w="57150" cap="rnd">
              <a:solidFill>
                <a:srgbClr val="FFFF00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circle"/>
            <c:size val="6"/>
            <c:spPr>
              <a:solidFill>
                <a:schemeClr val="accent1"/>
              </a:solidFill>
              <a:ln w="57150">
                <a:solidFill>
                  <a:schemeClr val="lt1"/>
                </a:solidFill>
                <a:round/>
              </a:ln>
              <a:effectLst/>
            </c:spPr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38600</c:v>
                </c:pt>
                <c:pt idx="1">
                  <c:v>37400</c:v>
                </c:pt>
                <c:pt idx="2">
                  <c:v>38600</c:v>
                </c:pt>
                <c:pt idx="3">
                  <c:v>38700</c:v>
                </c:pt>
                <c:pt idx="4">
                  <c:v>39700</c:v>
                </c:pt>
                <c:pt idx="5">
                  <c:v>39700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ВВП по ППС России</c:v>
                </c:pt>
              </c:strCache>
            </c:strRef>
          </c:tx>
          <c:spPr>
            <a:ln w="28575" cap="rnd">
              <a:solidFill>
                <a:schemeClr val="lt1">
                  <a:alpha val="50000"/>
                </a:schemeClr>
              </a:solidFill>
              <a:round/>
            </a:ln>
            <a:effectLst>
              <a:outerShdw dist="25400" dir="2700000" algn="tl" rotWithShape="0">
                <a:schemeClr val="accent2"/>
              </a:outerShdw>
            </a:effectLst>
          </c:spPr>
          <c:marker>
            <c:symbol val="circle"/>
            <c:size val="6"/>
            <c:spPr>
              <a:solidFill>
                <a:schemeClr val="accent2"/>
              </a:solidFill>
              <a:ln w="22225">
                <a:solidFill>
                  <a:schemeClr val="lt1"/>
                </a:solidFill>
                <a:round/>
              </a:ln>
              <a:effectLst/>
            </c:spPr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33009</c:v>
                </c:pt>
                <c:pt idx="1">
                  <c:v>34417</c:v>
                </c:pt>
                <c:pt idx="2">
                  <c:v>35628</c:v>
                </c:pt>
                <c:pt idx="3">
                  <c:v>36084</c:v>
                </c:pt>
                <c:pt idx="4">
                  <c:v>36347</c:v>
                </c:pt>
                <c:pt idx="5">
                  <c:v>35319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450528"/>
        <c:axId val="538451704"/>
      </c:scatterChart>
      <c:valAx>
        <c:axId val="538450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451704"/>
        <c:crosses val="autoZero"/>
        <c:crossBetween val="midCat"/>
      </c:valAx>
      <c:valAx>
        <c:axId val="538451704"/>
        <c:scaling>
          <c:orientation val="minMax"/>
          <c:min val="30000"/>
        </c:scaling>
        <c:delete val="1"/>
        <c:axPos val="l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384505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1639">
          <a:srgbClr val="0A1128"/>
        </a:gs>
        <a:gs pos="37000">
          <a:srgbClr val="1A3764"/>
        </a:gs>
        <a:gs pos="17000">
          <a:srgbClr val="152453"/>
        </a:gs>
        <a:gs pos="88000">
          <a:srgbClr val="2E7EA2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7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>
            <a:alpha val="25000"/>
          </a:schemeClr>
        </a:solidFill>
        <a:round/>
      </a:ln>
    </cs:spPr>
    <cs:defRPr sz="900" b="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gradFill>
          <a:gsLst>
            <a:gs pos="79000">
              <a:schemeClr val="phClr"/>
            </a:gs>
            <a:gs pos="0">
              <a:schemeClr val="lt1">
                <a:alpha val="6000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7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>
            <a:alpha val="25000"/>
          </a:schemeClr>
        </a:solidFill>
        <a:round/>
      </a:ln>
    </cs:spPr>
    <cs:defRPr sz="900" b="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gradFill>
          <a:gsLst>
            <a:gs pos="79000">
              <a:schemeClr val="phClr"/>
            </a:gs>
            <a:gs pos="0">
              <a:schemeClr val="lt1">
                <a:alpha val="6000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7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>
            <a:alpha val="25000"/>
          </a:schemeClr>
        </a:solidFill>
        <a:round/>
      </a:ln>
    </cs:spPr>
    <cs:defRPr sz="900" b="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gradFill>
          <a:gsLst>
            <a:gs pos="79000">
              <a:schemeClr val="phClr"/>
            </a:gs>
            <a:gs pos="0">
              <a:schemeClr val="lt1">
                <a:alpha val="6000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7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>
            <a:alpha val="25000"/>
          </a:schemeClr>
        </a:solidFill>
        <a:round/>
      </a:ln>
    </cs:spPr>
    <cs:defRPr sz="900" b="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gradFill>
          <a:gsLst>
            <a:gs pos="79000">
              <a:schemeClr val="phClr"/>
            </a:gs>
            <a:gs pos="0">
              <a:schemeClr val="lt1">
                <a:alpha val="6000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10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Arseniy24 RUSSIA</dc:creator>
  <cp:keywords/>
  <dc:description/>
  <cp:lastModifiedBy>Arseniy24 RUSSIA</cp:lastModifiedBy>
  <cp:revision>75</cp:revision>
  <dcterms:created xsi:type="dcterms:W3CDTF">2017-03-11T11:44:00Z</dcterms:created>
  <dcterms:modified xsi:type="dcterms:W3CDTF">2017-11-22T18:32:00Z</dcterms:modified>
</cp:coreProperties>
</file>